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FD7F3"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3A2D21">
        <w:t>54546</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12935BAE" w14:textId="77777777" w:rsidTr="007E0834">
        <w:trPr>
          <w:trHeight w:val="927"/>
        </w:trPr>
        <w:tc>
          <w:tcPr>
            <w:tcW w:w="4590" w:type="dxa"/>
          </w:tcPr>
          <w:bookmarkStart w:id="2" w:name="DocumentStyle"/>
          <w:p w14:paraId="74AC43B1" w14:textId="5BCDF1C9" w:rsidR="00E710D3" w:rsidRPr="00E710D3" w:rsidRDefault="00D74565" w:rsidP="00912358">
            <w:pPr>
              <w:spacing w:after="0" w:line="240" w:lineRule="auto"/>
              <w:ind w:firstLine="0"/>
              <w:jc w:val="left"/>
              <w:rPr>
                <w:b/>
                <w:szCs w:val="20"/>
              </w:rPr>
            </w:pPr>
            <w:sdt>
              <w:sdtPr>
                <w:rPr>
                  <w:b/>
                  <w:caps/>
                  <w:szCs w:val="20"/>
                </w:rPr>
                <w:alias w:val="Case Style"/>
                <w:tag w:val="CS"/>
                <w:id w:val="-920102863"/>
                <w:placeholder>
                  <w:docPart w:val="2D587713A0974136A1C6AB7D331DC163"/>
                </w:placeholder>
                <w15:appearance w15:val="hidden"/>
              </w:sdtPr>
              <w:sdtEndPr/>
              <w:sdtContent>
                <w:r w:rsidR="003A2D21">
                  <w:rPr>
                    <w:b/>
                    <w:caps/>
                    <w:szCs w:val="20"/>
                  </w:rPr>
                  <w:t xml:space="preserve">APPLICATION OF TEXAS WATER UTILITIES, LP AND WOODLAND OAKS UTILITY LP FOR SALE, TRANSFER, OR MERGER OF FACILITIES AND CERTIFICATE </w:t>
                </w:r>
                <w:r w:rsidR="006738BA">
                  <w:rPr>
                    <w:b/>
                    <w:caps/>
                    <w:szCs w:val="20"/>
                  </w:rPr>
                  <w:t xml:space="preserve">and rights and for a name change to certificates of convenience and necessity IN </w:t>
                </w:r>
                <w:r w:rsidR="003A2D21">
                  <w:rPr>
                    <w:b/>
                    <w:caps/>
                    <w:szCs w:val="20"/>
                  </w:rPr>
                  <w:t>MONTGOMERY COUNTY</w:t>
                </w:r>
              </w:sdtContent>
            </w:sdt>
            <w:bookmarkEnd w:id="2"/>
            <w:r w:rsidR="00912358">
              <w:rPr>
                <w:b/>
                <w:caps/>
                <w:szCs w:val="20"/>
              </w:rPr>
              <w:t xml:space="preserve"> </w:t>
            </w:r>
          </w:p>
        </w:tc>
        <w:tc>
          <w:tcPr>
            <w:tcW w:w="572" w:type="dxa"/>
            <w:noWrap/>
          </w:tcPr>
          <w:p w14:paraId="0FADC2E8" w14:textId="77777777" w:rsidR="003A2D21" w:rsidRDefault="003A2D21" w:rsidP="008647EB">
            <w:pPr>
              <w:spacing w:after="0" w:line="240" w:lineRule="auto"/>
              <w:ind w:firstLine="0"/>
              <w:rPr>
                <w:b/>
                <w:szCs w:val="20"/>
              </w:rPr>
            </w:pPr>
            <w:r>
              <w:rPr>
                <w:b/>
                <w:szCs w:val="20"/>
              </w:rPr>
              <w:t>§</w:t>
            </w:r>
          </w:p>
          <w:p w14:paraId="181AFD73" w14:textId="77777777" w:rsidR="003A2D21" w:rsidRDefault="003A2D21" w:rsidP="008647EB">
            <w:pPr>
              <w:spacing w:after="0" w:line="240" w:lineRule="auto"/>
              <w:ind w:firstLine="0"/>
              <w:rPr>
                <w:b/>
                <w:szCs w:val="20"/>
              </w:rPr>
            </w:pPr>
            <w:r>
              <w:rPr>
                <w:b/>
                <w:szCs w:val="20"/>
              </w:rPr>
              <w:t>§</w:t>
            </w:r>
          </w:p>
          <w:p w14:paraId="5E79DCF9" w14:textId="77777777" w:rsidR="003A2D21" w:rsidRDefault="003A2D21" w:rsidP="008647EB">
            <w:pPr>
              <w:spacing w:after="0" w:line="240" w:lineRule="auto"/>
              <w:ind w:firstLine="0"/>
              <w:rPr>
                <w:b/>
                <w:szCs w:val="20"/>
              </w:rPr>
            </w:pPr>
            <w:r>
              <w:rPr>
                <w:b/>
                <w:szCs w:val="20"/>
              </w:rPr>
              <w:t>§</w:t>
            </w:r>
          </w:p>
          <w:p w14:paraId="041F1F24" w14:textId="77777777" w:rsidR="003A2D21" w:rsidRDefault="003A2D21" w:rsidP="008647EB">
            <w:pPr>
              <w:spacing w:after="0" w:line="240" w:lineRule="auto"/>
              <w:ind w:firstLine="0"/>
              <w:rPr>
                <w:b/>
                <w:szCs w:val="20"/>
              </w:rPr>
            </w:pPr>
            <w:r>
              <w:rPr>
                <w:b/>
                <w:szCs w:val="20"/>
              </w:rPr>
              <w:t>§</w:t>
            </w:r>
          </w:p>
          <w:p w14:paraId="38FA6406" w14:textId="77777777" w:rsidR="003A2D21" w:rsidRDefault="003A2D21" w:rsidP="008647EB">
            <w:pPr>
              <w:spacing w:after="0" w:line="240" w:lineRule="auto"/>
              <w:ind w:firstLine="0"/>
              <w:rPr>
                <w:b/>
                <w:szCs w:val="20"/>
              </w:rPr>
            </w:pPr>
            <w:r>
              <w:rPr>
                <w:b/>
                <w:szCs w:val="20"/>
              </w:rPr>
              <w:t>§</w:t>
            </w:r>
          </w:p>
          <w:p w14:paraId="611170CE" w14:textId="77777777" w:rsidR="00DA790F" w:rsidRDefault="003A2D21" w:rsidP="008647EB">
            <w:pPr>
              <w:spacing w:after="0" w:line="240" w:lineRule="auto"/>
              <w:ind w:firstLine="0"/>
              <w:rPr>
                <w:b/>
                <w:szCs w:val="20"/>
              </w:rPr>
            </w:pPr>
            <w:r>
              <w:rPr>
                <w:b/>
                <w:szCs w:val="20"/>
              </w:rPr>
              <w:t>§</w:t>
            </w:r>
          </w:p>
          <w:p w14:paraId="1AB16B4D" w14:textId="77777777" w:rsidR="006738BA" w:rsidRDefault="006738BA" w:rsidP="008647EB">
            <w:pPr>
              <w:spacing w:after="0" w:line="240" w:lineRule="auto"/>
              <w:ind w:firstLine="0"/>
              <w:rPr>
                <w:b/>
                <w:szCs w:val="20"/>
              </w:rPr>
            </w:pPr>
            <w:r>
              <w:rPr>
                <w:b/>
                <w:szCs w:val="20"/>
              </w:rPr>
              <w:t>§</w:t>
            </w:r>
          </w:p>
          <w:p w14:paraId="046BF089" w14:textId="77777777" w:rsidR="006738BA" w:rsidRDefault="006738BA" w:rsidP="008647EB">
            <w:pPr>
              <w:spacing w:after="0" w:line="240" w:lineRule="auto"/>
              <w:ind w:firstLine="0"/>
              <w:rPr>
                <w:b/>
                <w:szCs w:val="20"/>
              </w:rPr>
            </w:pPr>
            <w:r>
              <w:rPr>
                <w:b/>
                <w:szCs w:val="20"/>
              </w:rPr>
              <w:t>§</w:t>
            </w:r>
          </w:p>
          <w:p w14:paraId="78DBF9A4" w14:textId="3BF76ED8" w:rsidR="006738BA" w:rsidRPr="008647EB" w:rsidRDefault="006738BA" w:rsidP="008647EB">
            <w:pPr>
              <w:spacing w:after="0" w:line="240" w:lineRule="auto"/>
              <w:ind w:firstLine="0"/>
              <w:rPr>
                <w:b/>
                <w:szCs w:val="20"/>
              </w:rPr>
            </w:pPr>
            <w:r>
              <w:rPr>
                <w:b/>
                <w:szCs w:val="20"/>
              </w:rPr>
              <w:t>§</w:t>
            </w:r>
          </w:p>
        </w:tc>
        <w:tc>
          <w:tcPr>
            <w:tcW w:w="4198" w:type="dxa"/>
          </w:tcPr>
          <w:p w14:paraId="2A05030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D515C70"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5554001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A30CAF9" w14:textId="77777777" w:rsidR="00DA790F" w:rsidRPr="008647EB" w:rsidRDefault="00DA790F" w:rsidP="008647EB">
      <w:pPr>
        <w:spacing w:after="0" w:line="240" w:lineRule="auto"/>
        <w:ind w:firstLine="0"/>
        <w:jc w:val="center"/>
        <w:rPr>
          <w:b/>
          <w:caps/>
        </w:rPr>
      </w:pPr>
    </w:p>
    <w:p w14:paraId="7CE78519" w14:textId="5A672DAC" w:rsidR="00DA790F" w:rsidRDefault="00685FA0" w:rsidP="006E5BC2">
      <w:pPr>
        <w:pStyle w:val="CaseCaption"/>
        <w:spacing w:after="0"/>
      </w:pPr>
      <w:r w:rsidRPr="00685FA0">
        <w:t xml:space="preserve">COMMISSION STAFF’S </w:t>
      </w:r>
      <w:r w:rsidR="0091233A">
        <w:t xml:space="preserve">Statement of Position </w:t>
      </w:r>
    </w:p>
    <w:p w14:paraId="43963407" w14:textId="7FED3C9C" w:rsidR="006E5BC2" w:rsidRDefault="006E5BC2" w:rsidP="00153960">
      <w:pPr>
        <w:pStyle w:val="Paragraph"/>
        <w:spacing w:line="240" w:lineRule="auto"/>
      </w:pPr>
    </w:p>
    <w:p w14:paraId="35E819B6" w14:textId="33C3C1A9" w:rsidR="00153960" w:rsidRDefault="00153960" w:rsidP="00153960">
      <w:pPr>
        <w:pStyle w:val="Heading1"/>
        <w:tabs>
          <w:tab w:val="clear" w:pos="1440"/>
        </w:tabs>
        <w:spacing w:before="0" w:after="0" w:line="360" w:lineRule="auto"/>
        <w:ind w:left="0" w:right="0"/>
      </w:pPr>
      <w:r>
        <w:t>INTRODUCTION</w:t>
      </w:r>
    </w:p>
    <w:p w14:paraId="3644C018" w14:textId="6E65D6C8" w:rsidR="001A44FD" w:rsidRDefault="00F1261F" w:rsidP="00153960">
      <w:pPr>
        <w:pStyle w:val="Paragraph"/>
        <w:rPr>
          <w:szCs w:val="20"/>
        </w:rPr>
      </w:pPr>
      <w:r>
        <w:rPr>
          <w:szCs w:val="20"/>
        </w:rPr>
        <w:t>The Staff (</w:t>
      </w:r>
      <w:r w:rsidR="00153960">
        <w:rPr>
          <w:szCs w:val="20"/>
        </w:rPr>
        <w:t>Staff</w:t>
      </w:r>
      <w:r>
        <w:rPr>
          <w:szCs w:val="20"/>
        </w:rPr>
        <w:t>) of the Public Utility Commission of Texas (Commission)</w:t>
      </w:r>
      <w:r w:rsidR="00153960">
        <w:rPr>
          <w:szCs w:val="20"/>
        </w:rPr>
        <w:t xml:space="preserve"> has reviewed the request for clarification filed by </w:t>
      </w:r>
      <w:r w:rsidR="00153960">
        <w:t xml:space="preserve">Texas Water Utilities, LP (TWU) and Woodland Oaks Utility, LP (Woodland Oaks) (collectively, the Applicants), as well as </w:t>
      </w:r>
      <w:r w:rsidR="00C5741A">
        <w:t xml:space="preserve">the amicus brief filed by </w:t>
      </w:r>
      <w:r w:rsidR="00153960">
        <w:rPr>
          <w:szCs w:val="20"/>
        </w:rPr>
        <w:t xml:space="preserve">CSWR-Texas Utility Operating Company, LLC (CSWR-Texas) in support of the </w:t>
      </w:r>
      <w:r w:rsidR="00C5741A">
        <w:rPr>
          <w:szCs w:val="20"/>
        </w:rPr>
        <w:t xml:space="preserve">Applicants’ </w:t>
      </w:r>
      <w:r w:rsidR="00153960">
        <w:rPr>
          <w:szCs w:val="20"/>
        </w:rPr>
        <w:t>request for clarification</w:t>
      </w:r>
      <w:r w:rsidR="00B627D3">
        <w:rPr>
          <w:szCs w:val="20"/>
        </w:rPr>
        <w:t xml:space="preserve">. </w:t>
      </w:r>
    </w:p>
    <w:p w14:paraId="3F15AEE9" w14:textId="2CB7373D" w:rsidR="00153960" w:rsidRDefault="00572A1C" w:rsidP="00153960">
      <w:pPr>
        <w:pStyle w:val="Paragraph"/>
        <w:rPr>
          <w:szCs w:val="20"/>
        </w:rPr>
      </w:pPr>
      <w:r>
        <w:rPr>
          <w:szCs w:val="20"/>
        </w:rPr>
        <w:t xml:space="preserve">In short, </w:t>
      </w:r>
      <w:r w:rsidR="00C5741A">
        <w:rPr>
          <w:szCs w:val="20"/>
        </w:rPr>
        <w:t xml:space="preserve">Staff agrees that </w:t>
      </w:r>
      <w:r w:rsidR="00153960">
        <w:rPr>
          <w:szCs w:val="20"/>
        </w:rPr>
        <w:t>Ordering Paragraph No. 5 in Order No. 12</w:t>
      </w:r>
      <w:r w:rsidR="005F17D6">
        <w:rPr>
          <w:szCs w:val="20"/>
        </w:rPr>
        <w:t xml:space="preserve"> (</w:t>
      </w:r>
      <w:r w:rsidR="00C5741A">
        <w:rPr>
          <w:szCs w:val="20"/>
        </w:rPr>
        <w:t xml:space="preserve">which </w:t>
      </w:r>
      <w:r w:rsidR="00153960">
        <w:rPr>
          <w:szCs w:val="20"/>
        </w:rPr>
        <w:t>requires Woodland Oaks to continue to provide continuous and adequate service in its certificated service areas</w:t>
      </w:r>
      <w:r w:rsidR="005F17D6">
        <w:rPr>
          <w:szCs w:val="20"/>
        </w:rPr>
        <w:t>)</w:t>
      </w:r>
      <w:r w:rsidR="00C5741A">
        <w:rPr>
          <w:szCs w:val="20"/>
        </w:rPr>
        <w:t xml:space="preserve"> should </w:t>
      </w:r>
      <w:r w:rsidR="00153960">
        <w:rPr>
          <w:szCs w:val="20"/>
        </w:rPr>
        <w:t>not conflict with Ordering Paragraph No. 1</w:t>
      </w:r>
      <w:r w:rsidR="005F17D6">
        <w:rPr>
          <w:szCs w:val="20"/>
        </w:rPr>
        <w:t xml:space="preserve"> (</w:t>
      </w:r>
      <w:r w:rsidR="00C5741A">
        <w:rPr>
          <w:szCs w:val="20"/>
        </w:rPr>
        <w:t xml:space="preserve">which provides </w:t>
      </w:r>
      <w:r w:rsidR="003E3252">
        <w:rPr>
          <w:szCs w:val="20"/>
        </w:rPr>
        <w:t xml:space="preserve">approval from the Commission </w:t>
      </w:r>
      <w:r w:rsidR="00153960">
        <w:rPr>
          <w:szCs w:val="20"/>
        </w:rPr>
        <w:t>for the transaction to be completed as proposed</w:t>
      </w:r>
      <w:r w:rsidR="00575CC0">
        <w:rPr>
          <w:szCs w:val="20"/>
        </w:rPr>
        <w:t>)</w:t>
      </w:r>
      <w:r w:rsidR="00B627D3">
        <w:rPr>
          <w:szCs w:val="20"/>
        </w:rPr>
        <w:t>.</w:t>
      </w:r>
      <w:r w:rsidR="00153960">
        <w:rPr>
          <w:szCs w:val="20"/>
        </w:rPr>
        <w:t xml:space="preserve"> </w:t>
      </w:r>
      <w:r w:rsidR="00C5741A">
        <w:rPr>
          <w:szCs w:val="20"/>
        </w:rPr>
        <w:t>Further</w:t>
      </w:r>
      <w:r w:rsidR="00B627D3">
        <w:rPr>
          <w:szCs w:val="20"/>
        </w:rPr>
        <w:t xml:space="preserve">, </w:t>
      </w:r>
      <w:r w:rsidR="00153960">
        <w:rPr>
          <w:szCs w:val="20"/>
        </w:rPr>
        <w:t xml:space="preserve">TWU should be allowed to provide service to the current customers of Woodland Oaks </w:t>
      </w:r>
      <w:r w:rsidR="00C5741A">
        <w:rPr>
          <w:szCs w:val="20"/>
        </w:rPr>
        <w:t xml:space="preserve">upon closing of the transaction </w:t>
      </w:r>
      <w:r w:rsidR="00153960">
        <w:rPr>
          <w:szCs w:val="20"/>
        </w:rPr>
        <w:t xml:space="preserve">but prior to the </w:t>
      </w:r>
      <w:r w:rsidR="00561EC7">
        <w:rPr>
          <w:szCs w:val="20"/>
        </w:rPr>
        <w:t xml:space="preserve">issuance of </w:t>
      </w:r>
      <w:r w:rsidR="00CD5534">
        <w:rPr>
          <w:szCs w:val="20"/>
        </w:rPr>
        <w:t xml:space="preserve">a </w:t>
      </w:r>
      <w:r w:rsidR="00153960">
        <w:rPr>
          <w:szCs w:val="20"/>
        </w:rPr>
        <w:t>final order or notice of approval t</w:t>
      </w:r>
      <w:r w:rsidR="00C5741A">
        <w:rPr>
          <w:szCs w:val="20"/>
        </w:rPr>
        <w:t>hat will</w:t>
      </w:r>
      <w:r w:rsidR="00153960">
        <w:rPr>
          <w:szCs w:val="20"/>
        </w:rPr>
        <w:t xml:space="preserve"> effectuate the transfer of the water and sewer certificates of convenience and necessity </w:t>
      </w:r>
      <w:r w:rsidR="00667661">
        <w:rPr>
          <w:szCs w:val="20"/>
        </w:rPr>
        <w:t>(CC</w:t>
      </w:r>
      <w:r w:rsidR="00CD5534">
        <w:rPr>
          <w:szCs w:val="20"/>
        </w:rPr>
        <w:t>N</w:t>
      </w:r>
      <w:r w:rsidR="00667661">
        <w:rPr>
          <w:szCs w:val="20"/>
        </w:rPr>
        <w:t xml:space="preserve">) </w:t>
      </w:r>
      <w:r w:rsidR="00153960">
        <w:rPr>
          <w:szCs w:val="20"/>
        </w:rPr>
        <w:t xml:space="preserve">from Woodland Oaks to TWU.  </w:t>
      </w:r>
    </w:p>
    <w:p w14:paraId="7271F90D" w14:textId="39AD68FA" w:rsidR="00153960" w:rsidRDefault="00C5741A" w:rsidP="00153960">
      <w:pPr>
        <w:pStyle w:val="Paragraph"/>
        <w:rPr>
          <w:szCs w:val="20"/>
        </w:rPr>
      </w:pPr>
      <w:r>
        <w:rPr>
          <w:szCs w:val="20"/>
        </w:rPr>
        <w:t>A</w:t>
      </w:r>
      <w:r w:rsidR="003E3252">
        <w:rPr>
          <w:szCs w:val="20"/>
        </w:rPr>
        <w:t xml:space="preserve">s detailed more fully below, while Texas Water Code (TWC) </w:t>
      </w:r>
      <w:r w:rsidR="003E3252">
        <w:t xml:space="preserve">§ 13.242(a) requires a utility to first obtain a CCN from the Commission before rendering retail water and sewer service </w:t>
      </w:r>
      <w:r w:rsidR="006E07D6">
        <w:t xml:space="preserve">to the public </w:t>
      </w:r>
      <w:r w:rsidR="003E3252">
        <w:t xml:space="preserve">or to any area to which service is being lawfully furnished by another retail public utility, </w:t>
      </w:r>
      <w:r w:rsidR="00F00F14">
        <w:t>there are</w:t>
      </w:r>
      <w:r w:rsidR="003E3252">
        <w:t xml:space="preserve"> exceptions in the TWC, as well as </w:t>
      </w:r>
      <w:r w:rsidR="00667661">
        <w:t>case precedent</w:t>
      </w:r>
      <w:r w:rsidR="00F00F14">
        <w:t>,</w:t>
      </w:r>
      <w:r w:rsidR="00667661">
        <w:t xml:space="preserve"> that would allow TWU to provide service within Woodland Oaks’ CCNs </w:t>
      </w:r>
      <w:r>
        <w:t>upon closing of the transaction.</w:t>
      </w:r>
      <w:r w:rsidR="00667661">
        <w:t xml:space="preserve">  </w:t>
      </w:r>
    </w:p>
    <w:p w14:paraId="5732A011" w14:textId="77777777" w:rsidR="00153960" w:rsidRDefault="00153960" w:rsidP="00153960">
      <w:pPr>
        <w:pStyle w:val="Paragraph"/>
      </w:pPr>
    </w:p>
    <w:p w14:paraId="124F1BE1" w14:textId="3118A231" w:rsidR="00153960" w:rsidRDefault="00153960" w:rsidP="00153960">
      <w:pPr>
        <w:pStyle w:val="Heading1"/>
        <w:tabs>
          <w:tab w:val="clear" w:pos="1440"/>
        </w:tabs>
        <w:spacing w:before="0" w:after="0" w:line="360" w:lineRule="auto"/>
        <w:ind w:left="0" w:right="0"/>
      </w:pPr>
      <w:r>
        <w:lastRenderedPageBreak/>
        <w:t>BACKGROUND</w:t>
      </w:r>
    </w:p>
    <w:p w14:paraId="1607C893" w14:textId="77777777" w:rsidR="000731FB" w:rsidRDefault="003A2D21" w:rsidP="00153960">
      <w:pPr>
        <w:pStyle w:val="Paragraph"/>
      </w:pPr>
      <w:r>
        <w:t>On January 4,</w:t>
      </w:r>
      <w:r w:rsidR="006738BA">
        <w:t xml:space="preserve"> </w:t>
      </w:r>
      <w:r>
        <w:t xml:space="preserve">2023, </w:t>
      </w:r>
      <w:r w:rsidR="00047D49">
        <w:t>the Applicants</w:t>
      </w:r>
      <w:r>
        <w:t xml:space="preserve"> filed an application for the sale, transfer, or merger (STM) of facilities and certificate rights in Montgomery County under TWC §</w:t>
      </w:r>
      <w:r w:rsidR="00047D49">
        <w:t> </w:t>
      </w:r>
      <w:r>
        <w:t xml:space="preserve">13.301 and 16 Texas Administrative Code (TAC) § 24.239. </w:t>
      </w:r>
      <w:r w:rsidR="00A84EA5">
        <w:t xml:space="preserve">  </w:t>
      </w:r>
    </w:p>
    <w:p w14:paraId="62121910" w14:textId="77777777" w:rsidR="000731FB" w:rsidRDefault="00EB584B" w:rsidP="00153960">
      <w:pPr>
        <w:pStyle w:val="Paragraph"/>
        <w:rPr>
          <w:iCs/>
        </w:rPr>
      </w:pPr>
      <w:r>
        <w:rPr>
          <w:iCs/>
        </w:rPr>
        <w:t xml:space="preserve">On </w:t>
      </w:r>
      <w:r w:rsidR="006738BA">
        <w:rPr>
          <w:iCs/>
        </w:rPr>
        <w:t>July 19</w:t>
      </w:r>
      <w:r>
        <w:rPr>
          <w:iCs/>
        </w:rPr>
        <w:t xml:space="preserve">, 2023, </w:t>
      </w:r>
      <w:r w:rsidR="006738BA">
        <w:rPr>
          <w:iCs/>
        </w:rPr>
        <w:t>the administrative law judge (ALJ) filed Order No. 12, approving the sale and transfer to proceed, which included Ordering Paragraph No. 5</w:t>
      </w:r>
      <w:r w:rsidR="00552AE1">
        <w:rPr>
          <w:iCs/>
        </w:rPr>
        <w:t>, which states</w:t>
      </w:r>
      <w:r w:rsidR="00A84EA5">
        <w:rPr>
          <w:iCs/>
        </w:rPr>
        <w:t xml:space="preserve">: </w:t>
      </w:r>
    </w:p>
    <w:p w14:paraId="38F90237" w14:textId="77777777" w:rsidR="000731FB" w:rsidRDefault="00A84EA5" w:rsidP="00153960">
      <w:pPr>
        <w:pStyle w:val="Paragraph"/>
        <w:rPr>
          <w:iCs/>
        </w:rPr>
      </w:pPr>
      <w:r>
        <w:rPr>
          <w:iCs/>
        </w:rPr>
        <w:t xml:space="preserve"> “</w:t>
      </w:r>
      <w:r>
        <w:t>This Order does not transfer the water or sewer service areas at issue in this proceeding from Woodland Oaks or authorize Texas Water Utilities to provide service in Woodland Oaks' certificated service areas. Woodland Oaks must provide continuous and adequate service in its certificated service areas until a final order or notice of approval issued by the Commission transfers the requested water and sewer service areas.</w:t>
      </w:r>
      <w:r>
        <w:rPr>
          <w:iCs/>
        </w:rPr>
        <w:t>”</w:t>
      </w:r>
      <w:r w:rsidR="006738BA">
        <w:rPr>
          <w:rStyle w:val="FootnoteReference"/>
          <w:iCs/>
        </w:rPr>
        <w:footnoteReference w:id="2"/>
      </w:r>
      <w:r w:rsidR="006738BA">
        <w:rPr>
          <w:iCs/>
        </w:rPr>
        <w:t xml:space="preserve"> </w:t>
      </w:r>
    </w:p>
    <w:p w14:paraId="09A15D30" w14:textId="779D60F2" w:rsidR="003A2D21" w:rsidRDefault="006738BA" w:rsidP="00153960">
      <w:pPr>
        <w:pStyle w:val="Paragraph"/>
      </w:pPr>
      <w:r>
        <w:rPr>
          <w:iCs/>
        </w:rPr>
        <w:t>On August 21, 2023, the Applicants filed a request for clarification of Order No. 12</w:t>
      </w:r>
      <w:r w:rsidR="00A84EA5">
        <w:rPr>
          <w:iCs/>
        </w:rPr>
        <w:t xml:space="preserve"> to determine if </w:t>
      </w:r>
      <w:r w:rsidR="00047D49">
        <w:rPr>
          <w:iCs/>
        </w:rPr>
        <w:t xml:space="preserve">Ordering Paragraph No. 5 allows TWU to provide service to the current customers of Woodland Oaks </w:t>
      </w:r>
      <w:r w:rsidR="001A44FD">
        <w:rPr>
          <w:iCs/>
        </w:rPr>
        <w:t xml:space="preserve">upon the transaction closing </w:t>
      </w:r>
      <w:r w:rsidR="00047D49">
        <w:rPr>
          <w:iCs/>
        </w:rPr>
        <w:t>as proposed</w:t>
      </w:r>
      <w:r w:rsidR="006E5BC2">
        <w:rPr>
          <w:iCs/>
        </w:rPr>
        <w:t>.</w:t>
      </w:r>
      <w:r w:rsidR="002E0EA6">
        <w:rPr>
          <w:rStyle w:val="FootnoteReference"/>
          <w:iCs/>
        </w:rPr>
        <w:footnoteReference w:id="3"/>
      </w:r>
      <w:r w:rsidR="002E0EA6">
        <w:rPr>
          <w:iCs/>
        </w:rPr>
        <w:t xml:space="preserve"> </w:t>
      </w:r>
      <w:r w:rsidR="006E5BC2">
        <w:rPr>
          <w:iCs/>
        </w:rPr>
        <w:t xml:space="preserve">On September </w:t>
      </w:r>
      <w:r w:rsidR="00BD2146">
        <w:rPr>
          <w:iCs/>
        </w:rPr>
        <w:t>29</w:t>
      </w:r>
      <w:r w:rsidR="006E5BC2">
        <w:rPr>
          <w:iCs/>
        </w:rPr>
        <w:t>, 2023, the ALJ filed Order No. 1</w:t>
      </w:r>
      <w:r w:rsidR="00BD2146">
        <w:rPr>
          <w:iCs/>
        </w:rPr>
        <w:t>4</w:t>
      </w:r>
      <w:r w:rsidR="006E5BC2">
        <w:rPr>
          <w:iCs/>
        </w:rPr>
        <w:t xml:space="preserve">, establishing a deadline of </w:t>
      </w:r>
      <w:r w:rsidR="00BD2146">
        <w:rPr>
          <w:iCs/>
        </w:rPr>
        <w:t>October 13</w:t>
      </w:r>
      <w:r w:rsidR="006E5BC2">
        <w:rPr>
          <w:iCs/>
        </w:rPr>
        <w:t xml:space="preserve">, </w:t>
      </w:r>
      <w:proofErr w:type="gramStart"/>
      <w:r w:rsidR="006E5BC2">
        <w:rPr>
          <w:iCs/>
        </w:rPr>
        <w:t>2023</w:t>
      </w:r>
      <w:proofErr w:type="gramEnd"/>
      <w:r w:rsidR="006E5BC2">
        <w:rPr>
          <w:iCs/>
        </w:rPr>
        <w:t xml:space="preserve"> for </w:t>
      </w:r>
      <w:r w:rsidR="00EB584B" w:rsidRPr="00CA3A20">
        <w:t xml:space="preserve">Staff </w:t>
      </w:r>
      <w:r w:rsidR="006E5BC2">
        <w:t>to file a statement of position on the request for clarification.</w:t>
      </w:r>
      <w:r w:rsidR="00EB584B">
        <w:t xml:space="preserve"> Therefore, </w:t>
      </w:r>
      <w:r w:rsidR="006E5BC2">
        <w:t>this pleading is timely filed</w:t>
      </w:r>
      <w:r w:rsidR="00EB584B">
        <w:t>.</w:t>
      </w:r>
    </w:p>
    <w:p w14:paraId="225A055D" w14:textId="77777777" w:rsidR="007E0834" w:rsidRPr="004B6D44" w:rsidRDefault="007E0834" w:rsidP="00153960">
      <w:pPr>
        <w:pStyle w:val="Paragraph"/>
        <w:rPr>
          <w:iCs/>
        </w:rPr>
      </w:pPr>
    </w:p>
    <w:p w14:paraId="728C7D1A" w14:textId="7E633EC5" w:rsidR="00685FA0" w:rsidRDefault="00265CA3" w:rsidP="00153960">
      <w:pPr>
        <w:pStyle w:val="Heading1"/>
        <w:tabs>
          <w:tab w:val="clear" w:pos="1440"/>
        </w:tabs>
        <w:spacing w:before="0" w:after="0" w:line="360" w:lineRule="auto"/>
        <w:ind w:left="0" w:right="0"/>
      </w:pPr>
      <w:r>
        <w:t>STATEMENT OF POSITION</w:t>
      </w:r>
    </w:p>
    <w:p w14:paraId="7CED85B6" w14:textId="5D446AB9" w:rsidR="002E0EA6" w:rsidRPr="002E0EA6" w:rsidRDefault="00265CA3" w:rsidP="002E0EA6">
      <w:pPr>
        <w:pStyle w:val="Paragraph"/>
      </w:pPr>
      <w:r>
        <w:rPr>
          <w:szCs w:val="20"/>
        </w:rPr>
        <w:t xml:space="preserve">Staff </w:t>
      </w:r>
      <w:r w:rsidR="001A44FD">
        <w:rPr>
          <w:szCs w:val="20"/>
        </w:rPr>
        <w:t>agrees</w:t>
      </w:r>
      <w:r w:rsidR="007D66ED">
        <w:rPr>
          <w:szCs w:val="20"/>
        </w:rPr>
        <w:t xml:space="preserve"> </w:t>
      </w:r>
      <w:r w:rsidR="002E0EA6">
        <w:rPr>
          <w:szCs w:val="20"/>
        </w:rPr>
        <w:t xml:space="preserve">that </w:t>
      </w:r>
      <w:r w:rsidR="00C6594C">
        <w:rPr>
          <w:szCs w:val="20"/>
        </w:rPr>
        <w:t xml:space="preserve">Ordering Paragraph No. 5 should not prevent </w:t>
      </w:r>
      <w:r w:rsidR="00D6303B">
        <w:rPr>
          <w:szCs w:val="20"/>
        </w:rPr>
        <w:t xml:space="preserve">TWU </w:t>
      </w:r>
      <w:r w:rsidR="00C6594C">
        <w:rPr>
          <w:szCs w:val="20"/>
        </w:rPr>
        <w:t>from</w:t>
      </w:r>
      <w:r w:rsidR="00D6303B">
        <w:rPr>
          <w:szCs w:val="20"/>
        </w:rPr>
        <w:t xml:space="preserve"> operat</w:t>
      </w:r>
      <w:r w:rsidR="00C6594C">
        <w:rPr>
          <w:szCs w:val="20"/>
        </w:rPr>
        <w:t>ing</w:t>
      </w:r>
      <w:r w:rsidR="00D6303B">
        <w:rPr>
          <w:szCs w:val="20"/>
        </w:rPr>
        <w:t xml:space="preserve"> the water and sewer systems and assets to provide service to the current customers of Woodland Oaks </w:t>
      </w:r>
      <w:r w:rsidR="001A44FD">
        <w:rPr>
          <w:szCs w:val="20"/>
        </w:rPr>
        <w:t>upon the transaction closin</w:t>
      </w:r>
      <w:r w:rsidR="0040173D">
        <w:rPr>
          <w:szCs w:val="20"/>
        </w:rPr>
        <w:t>g</w:t>
      </w:r>
      <w:r w:rsidR="001A44FD">
        <w:rPr>
          <w:szCs w:val="20"/>
        </w:rPr>
        <w:t xml:space="preserve"> </w:t>
      </w:r>
      <w:r w:rsidR="00D6303B">
        <w:rPr>
          <w:szCs w:val="20"/>
        </w:rPr>
        <w:t xml:space="preserve">but prior </w:t>
      </w:r>
      <w:r w:rsidR="007D66ED">
        <w:rPr>
          <w:szCs w:val="20"/>
        </w:rPr>
        <w:t xml:space="preserve">to </w:t>
      </w:r>
      <w:r w:rsidR="00D6303B">
        <w:rPr>
          <w:szCs w:val="20"/>
        </w:rPr>
        <w:t xml:space="preserve">the </w:t>
      </w:r>
      <w:r w:rsidR="00154A4C">
        <w:rPr>
          <w:szCs w:val="20"/>
        </w:rPr>
        <w:t xml:space="preserve">issuance of a </w:t>
      </w:r>
      <w:r w:rsidR="00D6303B">
        <w:rPr>
          <w:szCs w:val="20"/>
        </w:rPr>
        <w:t xml:space="preserve">final order or notice of approval </w:t>
      </w:r>
      <w:r w:rsidR="00154A4C">
        <w:rPr>
          <w:szCs w:val="20"/>
        </w:rPr>
        <w:t>transferring</w:t>
      </w:r>
      <w:r w:rsidR="006D38EA">
        <w:rPr>
          <w:szCs w:val="20"/>
        </w:rPr>
        <w:t xml:space="preserve"> </w:t>
      </w:r>
      <w:r w:rsidR="00D6303B">
        <w:rPr>
          <w:szCs w:val="20"/>
        </w:rPr>
        <w:t>the CCNs.</w:t>
      </w:r>
      <w:r w:rsidR="00AE6C1C">
        <w:rPr>
          <w:szCs w:val="20"/>
        </w:rPr>
        <w:t xml:space="preserve"> </w:t>
      </w:r>
    </w:p>
    <w:p w14:paraId="17C92EBC" w14:textId="6B9D19D9" w:rsidR="00924BDA" w:rsidRDefault="001A44FD" w:rsidP="00153960">
      <w:pPr>
        <w:pStyle w:val="Paragraph"/>
        <w:rPr>
          <w:rFonts w:eastAsia="Calibri"/>
          <w:kern w:val="2"/>
          <w14:ligatures w14:val="standardContextual"/>
        </w:rPr>
      </w:pPr>
      <w:r>
        <w:rPr>
          <w:szCs w:val="20"/>
        </w:rPr>
        <w:t xml:space="preserve">The origin of the change to Ordering Paragraph </w:t>
      </w:r>
      <w:r w:rsidR="00947CF3">
        <w:rPr>
          <w:szCs w:val="20"/>
        </w:rPr>
        <w:t xml:space="preserve">No. </w:t>
      </w:r>
      <w:r>
        <w:rPr>
          <w:szCs w:val="20"/>
        </w:rPr>
        <w:t xml:space="preserve">5 seems to stem from </w:t>
      </w:r>
      <w:r w:rsidR="00C86A64" w:rsidRPr="00C86A64">
        <w:rPr>
          <w:szCs w:val="20"/>
        </w:rPr>
        <w:t>Docket No. 53431</w:t>
      </w:r>
      <w:r>
        <w:rPr>
          <w:szCs w:val="20"/>
        </w:rPr>
        <w:t xml:space="preserve"> and </w:t>
      </w:r>
      <w:r w:rsidR="00C86A64" w:rsidRPr="00C86A64">
        <w:rPr>
          <w:szCs w:val="20"/>
        </w:rPr>
        <w:t>Commissioner McAdams</w:t>
      </w:r>
      <w:r>
        <w:rPr>
          <w:szCs w:val="20"/>
        </w:rPr>
        <w:t>’</w:t>
      </w:r>
      <w:r w:rsidR="00C86A64" w:rsidRPr="00C86A64">
        <w:rPr>
          <w:szCs w:val="20"/>
        </w:rPr>
        <w:t xml:space="preserve"> memorandum</w:t>
      </w:r>
      <w:r w:rsidR="0040173D">
        <w:rPr>
          <w:szCs w:val="20"/>
        </w:rPr>
        <w:t xml:space="preserve"> </w:t>
      </w:r>
      <w:r>
        <w:rPr>
          <w:szCs w:val="20"/>
        </w:rPr>
        <w:t>filed in that docket</w:t>
      </w:r>
      <w:r w:rsidR="00C86A64">
        <w:rPr>
          <w:szCs w:val="20"/>
        </w:rPr>
        <w:t>.</w:t>
      </w:r>
      <w:r w:rsidR="00C86A64">
        <w:rPr>
          <w:rStyle w:val="FootnoteReference"/>
          <w:szCs w:val="20"/>
        </w:rPr>
        <w:footnoteReference w:id="4"/>
      </w:r>
      <w:r w:rsidR="00B67A50">
        <w:rPr>
          <w:szCs w:val="20"/>
        </w:rPr>
        <w:t xml:space="preserve"> Staff </w:t>
      </w:r>
      <w:r w:rsidR="009640ED">
        <w:rPr>
          <w:szCs w:val="20"/>
        </w:rPr>
        <w:t>understands</w:t>
      </w:r>
      <w:r w:rsidR="00B67A50">
        <w:rPr>
          <w:szCs w:val="20"/>
        </w:rPr>
        <w:t xml:space="preserve"> </w:t>
      </w:r>
      <w:r>
        <w:rPr>
          <w:szCs w:val="20"/>
        </w:rPr>
        <w:t xml:space="preserve">Commissioner McAdams’ memorandum to </w:t>
      </w:r>
      <w:r w:rsidR="009640ED">
        <w:rPr>
          <w:szCs w:val="20"/>
        </w:rPr>
        <w:t>emphasize</w:t>
      </w:r>
      <w:r>
        <w:rPr>
          <w:szCs w:val="20"/>
        </w:rPr>
        <w:t xml:space="preserve"> that </w:t>
      </w:r>
      <w:r w:rsidR="0040173D">
        <w:rPr>
          <w:szCs w:val="20"/>
        </w:rPr>
        <w:t>a</w:t>
      </w:r>
      <w:r w:rsidR="00947CF3">
        <w:rPr>
          <w:szCs w:val="20"/>
        </w:rPr>
        <w:t xml:space="preserve">n acquiring utility </w:t>
      </w:r>
      <w:r w:rsidR="00B67A50" w:rsidRPr="00482168">
        <w:rPr>
          <w:rFonts w:eastAsia="Calibri"/>
          <w:kern w:val="2"/>
          <w14:ligatures w14:val="standardContextual"/>
        </w:rPr>
        <w:t xml:space="preserve">is not allowed to provide service to the areas within </w:t>
      </w:r>
      <w:r w:rsidR="0040173D">
        <w:rPr>
          <w:rFonts w:eastAsia="Calibri"/>
          <w:kern w:val="2"/>
          <w14:ligatures w14:val="standardContextual"/>
        </w:rPr>
        <w:t>a</w:t>
      </w:r>
      <w:r w:rsidR="00B67A50" w:rsidRPr="00482168">
        <w:rPr>
          <w:rFonts w:eastAsia="Calibri"/>
          <w:kern w:val="2"/>
          <w14:ligatures w14:val="standardContextual"/>
        </w:rPr>
        <w:t xml:space="preserve"> </w:t>
      </w:r>
      <w:r w:rsidR="00947CF3">
        <w:rPr>
          <w:rFonts w:eastAsia="Calibri"/>
          <w:kern w:val="2"/>
          <w14:ligatures w14:val="standardContextual"/>
        </w:rPr>
        <w:t>selling utility’s</w:t>
      </w:r>
      <w:r w:rsidR="00B67A50" w:rsidRPr="00482168">
        <w:rPr>
          <w:rFonts w:eastAsia="Calibri"/>
          <w:kern w:val="2"/>
          <w14:ligatures w14:val="standardContextual"/>
        </w:rPr>
        <w:t xml:space="preserve"> CCN or within any uncertificated or otherwise </w:t>
      </w:r>
      <w:r w:rsidR="00B67A50" w:rsidRPr="00482168">
        <w:rPr>
          <w:rFonts w:eastAsia="Calibri"/>
          <w:kern w:val="2"/>
          <w14:ligatures w14:val="standardContextual"/>
        </w:rPr>
        <w:lastRenderedPageBreak/>
        <w:t xml:space="preserve">certificated area that is not included within the transferred area until the </w:t>
      </w:r>
      <w:r w:rsidR="00947CF3">
        <w:rPr>
          <w:rFonts w:eastAsia="Calibri"/>
          <w:kern w:val="2"/>
          <w14:ligatures w14:val="standardContextual"/>
        </w:rPr>
        <w:t>acquiring utility</w:t>
      </w:r>
      <w:r w:rsidR="00B67A50" w:rsidRPr="00482168">
        <w:rPr>
          <w:rFonts w:eastAsia="Calibri"/>
          <w:kern w:val="2"/>
          <w14:ligatures w14:val="standardContextual"/>
        </w:rPr>
        <w:t>’s CCN is amended.</w:t>
      </w:r>
      <w:r w:rsidR="003E1D59">
        <w:rPr>
          <w:rStyle w:val="FootnoteReference"/>
          <w:rFonts w:eastAsia="Calibri"/>
          <w14:ligatures w14:val="standardContextual"/>
        </w:rPr>
        <w:footnoteReference w:id="5"/>
      </w:r>
      <w:r w:rsidR="00C86A64">
        <w:rPr>
          <w:szCs w:val="20"/>
        </w:rPr>
        <w:t xml:space="preserve"> </w:t>
      </w:r>
      <w:r w:rsidR="0040173D">
        <w:rPr>
          <w:szCs w:val="20"/>
        </w:rPr>
        <w:t xml:space="preserve">Applying that requirement to this case, </w:t>
      </w:r>
      <w:r w:rsidR="00924BDA" w:rsidRPr="00C83077">
        <w:rPr>
          <w:szCs w:val="20"/>
        </w:rPr>
        <w:t>TWU</w:t>
      </w:r>
      <w:r>
        <w:rPr>
          <w:szCs w:val="20"/>
        </w:rPr>
        <w:t>’s CCN</w:t>
      </w:r>
      <w:r w:rsidR="00947CF3">
        <w:rPr>
          <w:szCs w:val="20"/>
        </w:rPr>
        <w:t>s</w:t>
      </w:r>
      <w:r>
        <w:rPr>
          <w:szCs w:val="20"/>
        </w:rPr>
        <w:t xml:space="preserve"> w</w:t>
      </w:r>
      <w:r w:rsidR="0040173D">
        <w:rPr>
          <w:szCs w:val="20"/>
        </w:rPr>
        <w:t>ill</w:t>
      </w:r>
      <w:r>
        <w:rPr>
          <w:szCs w:val="20"/>
        </w:rPr>
        <w:t xml:space="preserve"> not be amended until a final order </w:t>
      </w:r>
      <w:r w:rsidR="0040173D">
        <w:rPr>
          <w:szCs w:val="20"/>
        </w:rPr>
        <w:t>i</w:t>
      </w:r>
      <w:r>
        <w:rPr>
          <w:szCs w:val="20"/>
        </w:rPr>
        <w:t>s issued by the Commission</w:t>
      </w:r>
      <w:r w:rsidR="0040173D">
        <w:rPr>
          <w:szCs w:val="20"/>
        </w:rPr>
        <w:t xml:space="preserve">, and </w:t>
      </w:r>
      <w:r>
        <w:rPr>
          <w:szCs w:val="20"/>
        </w:rPr>
        <w:t>TWU</w:t>
      </w:r>
      <w:r w:rsidR="0040173D">
        <w:rPr>
          <w:szCs w:val="20"/>
        </w:rPr>
        <w:t xml:space="preserve"> therefore </w:t>
      </w:r>
      <w:r>
        <w:rPr>
          <w:szCs w:val="20"/>
        </w:rPr>
        <w:t>c</w:t>
      </w:r>
      <w:r w:rsidR="0040173D">
        <w:rPr>
          <w:szCs w:val="20"/>
        </w:rPr>
        <w:t>anno</w:t>
      </w:r>
      <w:r>
        <w:rPr>
          <w:szCs w:val="20"/>
        </w:rPr>
        <w:t xml:space="preserve">t provide service within Woodland Oak’s certificated service areas until the final order </w:t>
      </w:r>
      <w:r w:rsidR="0040173D">
        <w:rPr>
          <w:szCs w:val="20"/>
        </w:rPr>
        <w:t>i</w:t>
      </w:r>
      <w:r>
        <w:rPr>
          <w:szCs w:val="20"/>
        </w:rPr>
        <w:t>s issued amending TWU’s CCN</w:t>
      </w:r>
      <w:r w:rsidR="00947CF3">
        <w:rPr>
          <w:szCs w:val="20"/>
        </w:rPr>
        <w:t>s</w:t>
      </w:r>
      <w:r>
        <w:rPr>
          <w:szCs w:val="20"/>
        </w:rPr>
        <w:t xml:space="preserve"> under</w:t>
      </w:r>
      <w:r w:rsidR="00924BDA" w:rsidRPr="00C83077">
        <w:rPr>
          <w:szCs w:val="20"/>
        </w:rPr>
        <w:t xml:space="preserve"> </w:t>
      </w:r>
      <w:r w:rsidR="00924BDA" w:rsidRPr="00C83077">
        <w:rPr>
          <w:rFonts w:eastAsia="Calibri"/>
          <w:kern w:val="2"/>
          <w14:ligatures w14:val="standardContextual"/>
        </w:rPr>
        <w:t>TWC § 13.242(a)</w:t>
      </w:r>
      <w:r w:rsidR="00C83077">
        <w:rPr>
          <w:rFonts w:eastAsia="Calibri"/>
          <w:kern w:val="2"/>
          <w14:ligatures w14:val="standardContextual"/>
        </w:rPr>
        <w:t>.</w:t>
      </w:r>
    </w:p>
    <w:p w14:paraId="6D6FC944" w14:textId="77777777" w:rsidR="0040173D" w:rsidRDefault="00214DCE" w:rsidP="00214DCE">
      <w:pPr>
        <w:pStyle w:val="Paragraph"/>
        <w:rPr>
          <w:szCs w:val="20"/>
        </w:rPr>
      </w:pPr>
      <w:r>
        <w:rPr>
          <w:szCs w:val="20"/>
        </w:rPr>
        <w:t xml:space="preserve">Although </w:t>
      </w:r>
      <w:r w:rsidR="001D334E">
        <w:rPr>
          <w:szCs w:val="20"/>
        </w:rPr>
        <w:t>in this docket</w:t>
      </w:r>
      <w:r w:rsidR="0040173D">
        <w:rPr>
          <w:szCs w:val="20"/>
        </w:rPr>
        <w:t>,</w:t>
      </w:r>
      <w:r w:rsidR="001D334E">
        <w:rPr>
          <w:szCs w:val="20"/>
        </w:rPr>
        <w:t xml:space="preserve"> </w:t>
      </w:r>
      <w:r w:rsidR="00C6594C">
        <w:rPr>
          <w:szCs w:val="20"/>
        </w:rPr>
        <w:t xml:space="preserve">the language in Ordering Paragraph No. 5 is clear that Woodland Oaks must continue to provide service until the final order </w:t>
      </w:r>
      <w:r w:rsidR="00154A4C">
        <w:rPr>
          <w:szCs w:val="20"/>
        </w:rPr>
        <w:t>is issued</w:t>
      </w:r>
      <w:r w:rsidR="00C6594C">
        <w:rPr>
          <w:szCs w:val="20"/>
        </w:rPr>
        <w:t>,</w:t>
      </w:r>
      <w:r w:rsidR="00541537">
        <w:rPr>
          <w:szCs w:val="20"/>
        </w:rPr>
        <w:t xml:space="preserve"> the Applicants </w:t>
      </w:r>
      <w:r w:rsidR="00C6594C">
        <w:rPr>
          <w:szCs w:val="20"/>
        </w:rPr>
        <w:t>suggest that the Commission can look to Conclusion of Law No. 2 to support an interpretation that Ordering Paragraph No. 5 allows for TWU’s operation of the systems and assets once the transaction closes, but prior to the issuance of a final order</w:t>
      </w:r>
      <w:r w:rsidR="00561EC7">
        <w:rPr>
          <w:szCs w:val="20"/>
        </w:rPr>
        <w:t>.</w:t>
      </w:r>
      <w:r w:rsidR="00561EC7">
        <w:rPr>
          <w:rStyle w:val="FootnoteReference"/>
          <w:szCs w:val="20"/>
        </w:rPr>
        <w:footnoteReference w:id="6"/>
      </w:r>
      <w:r w:rsidR="00C6594C">
        <w:rPr>
          <w:szCs w:val="20"/>
        </w:rPr>
        <w:t xml:space="preserve"> </w:t>
      </w:r>
    </w:p>
    <w:p w14:paraId="57756D54" w14:textId="04F59671" w:rsidR="001D1AD8" w:rsidRDefault="002D149A" w:rsidP="00214DCE">
      <w:pPr>
        <w:pStyle w:val="Paragraph"/>
      </w:pPr>
      <w:r>
        <w:rPr>
          <w:szCs w:val="20"/>
        </w:rPr>
        <w:t>Conclusion of Law No. 2 specifically</w:t>
      </w:r>
      <w:r w:rsidR="00C6594C">
        <w:rPr>
          <w:szCs w:val="20"/>
        </w:rPr>
        <w:t xml:space="preserve"> states that “[a]</w:t>
      </w:r>
      <w:proofErr w:type="spellStart"/>
      <w:r w:rsidR="00C6594C">
        <w:rPr>
          <w:szCs w:val="20"/>
        </w:rPr>
        <w:t>fter</w:t>
      </w:r>
      <w:proofErr w:type="spellEnd"/>
      <w:r w:rsidR="00C6594C">
        <w:rPr>
          <w:szCs w:val="20"/>
        </w:rPr>
        <w:t xml:space="preserve"> consideration of the factors in TWC </w:t>
      </w:r>
      <w:r w:rsidR="00C6594C">
        <w:t>§ 13.246(c), [TWU] demonstrated that it is capable of rendering continuous and adequate service to every customer within the requested area, as required by TWC § 13.251</w:t>
      </w:r>
      <w:r>
        <w:t>.</w:t>
      </w:r>
      <w:r w:rsidR="00C6594C">
        <w:t xml:space="preserve">” </w:t>
      </w:r>
      <w:r>
        <w:t>TWC §</w:t>
      </w:r>
      <w:r w:rsidR="009640ED">
        <w:t> </w:t>
      </w:r>
      <w:r>
        <w:t>13.251</w:t>
      </w:r>
      <w:r w:rsidR="00AE6C1C">
        <w:t xml:space="preserve"> states that “a utility [such as Woodland Oaks] may not sell, assign, or lease a [CCN] or any right obtained under a [CCN] unless the [C]</w:t>
      </w:r>
      <w:proofErr w:type="spellStart"/>
      <w:r w:rsidR="00AE6C1C">
        <w:t>ommission</w:t>
      </w:r>
      <w:proofErr w:type="spellEnd"/>
      <w:r w:rsidR="00AE6C1C">
        <w:t xml:space="preserve"> has determined that the purchaser, assignee, or lessee [such as TWU] is capable of rendering adequate and continuous service to every consumer within the certified are, after considering the factors under [TWC §] 13.246(c).” </w:t>
      </w:r>
    </w:p>
    <w:p w14:paraId="491E881D" w14:textId="5C992339" w:rsidR="00214DCE" w:rsidRDefault="001D334E" w:rsidP="00214DCE">
      <w:pPr>
        <w:pStyle w:val="Paragraph"/>
      </w:pPr>
      <w:r>
        <w:t>T</w:t>
      </w:r>
      <w:r w:rsidR="00214DCE">
        <w:t>he Applicants a</w:t>
      </w:r>
      <w:r w:rsidR="00154A4C">
        <w:t>r</w:t>
      </w:r>
      <w:r w:rsidR="00214DCE">
        <w:t xml:space="preserve">gue that Conclusion of Law No. 2, which, when combined with Ordering Paragraph No. 1 </w:t>
      </w:r>
      <w:r>
        <w:t>(</w:t>
      </w:r>
      <w:r w:rsidR="00214DCE">
        <w:t>approving the transaction to be completed as proposed</w:t>
      </w:r>
      <w:r>
        <w:t>)</w:t>
      </w:r>
      <w:r w:rsidR="00214DCE">
        <w:t>, allows the Applicants to move forward with the sale of the relevant portions of Woodland Oaks’ CCNs to TWU</w:t>
      </w:r>
      <w:r w:rsidR="00B627D3">
        <w:t>, as well as the rights obtained under the CCNs</w:t>
      </w:r>
      <w:r w:rsidR="00214DCE">
        <w:t>.</w:t>
      </w:r>
    </w:p>
    <w:p w14:paraId="2A38B9FC" w14:textId="79E9280E" w:rsidR="001D334E" w:rsidRDefault="00214DCE" w:rsidP="00791469">
      <w:pPr>
        <w:pStyle w:val="Paragraph"/>
      </w:pPr>
      <w:r>
        <w:t>While Staff agrees that</w:t>
      </w:r>
      <w:r w:rsidR="00712EB2">
        <w:t xml:space="preserve"> the</w:t>
      </w:r>
      <w:r>
        <w:t xml:space="preserve"> sale of Woodland Oaks’ water and sewer CCNs and any rights obtained thereunder can proceed under this interpretation of Conclusion of Law No. 2 and Ordering Paragraph No. 1, the transaction between the Applicants acknowledges that the transfer of the CCNs will not occur immediately </w:t>
      </w:r>
      <w:r w:rsidR="00154A4C">
        <w:t xml:space="preserve">after </w:t>
      </w:r>
      <w:r>
        <w:t>the transaction is closed</w:t>
      </w:r>
      <w:r w:rsidR="001D1AD8">
        <w:t>,</w:t>
      </w:r>
      <w:r>
        <w:t xml:space="preserve"> and that the Commission’s final approval is needed to the transfer the CCNs.</w:t>
      </w:r>
      <w:r>
        <w:rPr>
          <w:rStyle w:val="FootnoteReference"/>
        </w:rPr>
        <w:footnoteReference w:id="7"/>
      </w:r>
      <w:r>
        <w:t xml:space="preserve"> Even if the </w:t>
      </w:r>
      <w:r w:rsidR="009640ED">
        <w:t>Applicants</w:t>
      </w:r>
      <w:r w:rsidR="00474D5A">
        <w:t>’ agreement</w:t>
      </w:r>
      <w:r>
        <w:t xml:space="preserve"> </w:t>
      </w:r>
      <w:r w:rsidR="002F6C6D">
        <w:t xml:space="preserve">were to state </w:t>
      </w:r>
      <w:r w:rsidR="001D334E">
        <w:t xml:space="preserve">that </w:t>
      </w:r>
      <w:r>
        <w:t xml:space="preserve">the CCNs are sold and effectively transferred to TWU once the transaction has closed, the Commission would still need to issue an order amending the CCNs for TWU to fully comply with </w:t>
      </w:r>
      <w:r w:rsidRPr="000E4ECB">
        <w:lastRenderedPageBreak/>
        <w:t>TWC § 13.242(a)</w:t>
      </w:r>
      <w:r>
        <w:t xml:space="preserve">, because the action of “obtaining” a CCN under </w:t>
      </w:r>
      <w:r w:rsidRPr="000E4ECB">
        <w:t>TWC § 13.242(a)</w:t>
      </w:r>
      <w:r>
        <w:t xml:space="preserve"> is </w:t>
      </w:r>
      <w:r w:rsidR="00B672C5">
        <w:t>an administrative action requiring</w:t>
      </w:r>
      <w:r>
        <w:t xml:space="preserve"> Commission approval. </w:t>
      </w:r>
      <w:r w:rsidR="001D334E">
        <w:t xml:space="preserve">Further, </w:t>
      </w:r>
      <w:r>
        <w:t xml:space="preserve">Order No. 12 did not </w:t>
      </w:r>
      <w:r w:rsidR="00B672C5">
        <w:t xml:space="preserve">authorize TWU </w:t>
      </w:r>
      <w:r>
        <w:t>to provide service within Woodland Oaks’ certificated service areas</w:t>
      </w:r>
      <w:r w:rsidR="001574A9">
        <w:t xml:space="preserve"> pursuant to </w:t>
      </w:r>
      <w:r w:rsidR="001574A9" w:rsidRPr="000E4ECB">
        <w:t>TWC § 13.242(a)</w:t>
      </w:r>
      <w:r>
        <w:t xml:space="preserve">. </w:t>
      </w:r>
    </w:p>
    <w:p w14:paraId="3D2CC8F9" w14:textId="2FCA1D7E" w:rsidR="001574A9" w:rsidRDefault="001D334E" w:rsidP="00791469">
      <w:pPr>
        <w:pStyle w:val="Paragraph"/>
      </w:pPr>
      <w:r>
        <w:t xml:space="preserve">Staff agrees that </w:t>
      </w:r>
      <w:r w:rsidR="001574A9">
        <w:t>TWC §</w:t>
      </w:r>
      <w:r w:rsidR="00B672C5">
        <w:t> </w:t>
      </w:r>
      <w:r w:rsidR="001574A9">
        <w:t xml:space="preserve">13.251 </w:t>
      </w:r>
      <w:r w:rsidR="00756C40">
        <w:t>should be considered a</w:t>
      </w:r>
      <w:r w:rsidR="00C61230">
        <w:t xml:space="preserve">s </w:t>
      </w:r>
      <w:r w:rsidR="001574A9">
        <w:t xml:space="preserve">an exception to </w:t>
      </w:r>
      <w:r w:rsidR="00756C40">
        <w:t xml:space="preserve">the general rule in </w:t>
      </w:r>
      <w:r w:rsidR="001574A9">
        <w:t>TWC § 13.242(a)</w:t>
      </w:r>
      <w:r w:rsidR="00756C40">
        <w:t xml:space="preserve"> </w:t>
      </w:r>
      <w:r w:rsidR="00B627D3">
        <w:t xml:space="preserve">that </w:t>
      </w:r>
      <w:r w:rsidR="00712EB2">
        <w:t>a utility must first be granted a CCN</w:t>
      </w:r>
      <w:r w:rsidR="00756C40">
        <w:t xml:space="preserve"> before being able to provide service</w:t>
      </w:r>
      <w:r w:rsidR="00712EB2">
        <w:t xml:space="preserve"> in that area</w:t>
      </w:r>
      <w:r>
        <w:t>,</w:t>
      </w:r>
      <w:r w:rsidR="00756C40">
        <w:t xml:space="preserve"> and that</w:t>
      </w:r>
      <w:r>
        <w:t>,</w:t>
      </w:r>
      <w:r w:rsidR="00756C40">
        <w:t xml:space="preserve"> pursuant to TWC § 13.251, </w:t>
      </w:r>
      <w:r w:rsidR="001574A9">
        <w:t xml:space="preserve">TWU will obtain Woodland Oaks’ CCNs and CCN rights, which include the right to provide service under the CCNs that </w:t>
      </w:r>
      <w:r w:rsidR="001130EB">
        <w:t>TWU will acquire once the transaction is closed</w:t>
      </w:r>
      <w:r w:rsidR="001574A9">
        <w:t xml:space="preserve">.  </w:t>
      </w:r>
    </w:p>
    <w:p w14:paraId="57293A0F" w14:textId="00B2A5F0" w:rsidR="00AD7216" w:rsidRDefault="0014498A" w:rsidP="00791469">
      <w:pPr>
        <w:pStyle w:val="Paragraph"/>
      </w:pPr>
      <w:r>
        <w:t>Staff also notes that TWC § 13.250(a), (b), and (d) contemplate the provision of service to ratepayers without a CCN</w:t>
      </w:r>
      <w:r w:rsidR="00D64189">
        <w:t xml:space="preserve">. In its amicus brief, CSWR-Texas states that </w:t>
      </w:r>
      <w:r w:rsidR="00D64189">
        <w:rPr>
          <w:rFonts w:eastAsia="Calibri"/>
          <w:kern w:val="2"/>
          <w14:ligatures w14:val="standardContextual"/>
        </w:rPr>
        <w:t>once the STM transaction is closed and TWU owns the facilities used to provide service to Woodland Oaks’ certificated service areas, TWU would be “required under [</w:t>
      </w:r>
      <w:r w:rsidR="00D64189" w:rsidRPr="00B571E2">
        <w:rPr>
          <w:rFonts w:eastAsia="Calibri"/>
          <w:kern w:val="2"/>
          <w14:ligatures w14:val="standardContextual"/>
        </w:rPr>
        <w:t>TWC §</w:t>
      </w:r>
      <w:r w:rsidR="00D64189">
        <w:rPr>
          <w:rFonts w:eastAsia="Calibri"/>
          <w:kern w:val="2"/>
          <w14:ligatures w14:val="standardContextual"/>
        </w:rPr>
        <w:t> </w:t>
      </w:r>
      <w:r w:rsidR="00D64189" w:rsidRPr="00B571E2">
        <w:rPr>
          <w:rFonts w:eastAsia="Calibri"/>
          <w:kern w:val="2"/>
          <w14:ligatures w14:val="standardContextual"/>
        </w:rPr>
        <w:t>13.250</w:t>
      </w:r>
      <w:r w:rsidR="00D64189">
        <w:rPr>
          <w:rFonts w:eastAsia="Calibri"/>
          <w:kern w:val="2"/>
          <w14:ligatures w14:val="standardContextual"/>
        </w:rPr>
        <w:t>] to continue providing service with those facilities, regardless of its certification status or the willingness of [Woodland Oaks] to continue operations themselves.”</w:t>
      </w:r>
      <w:r w:rsidR="00D64189">
        <w:rPr>
          <w:rStyle w:val="FootnoteReference"/>
          <w:rFonts w:eastAsia="Calibri"/>
          <w14:ligatures w14:val="standardContextual"/>
        </w:rPr>
        <w:footnoteReference w:id="8"/>
      </w:r>
      <w:r w:rsidR="00CB42B7">
        <w:rPr>
          <w:rFonts w:eastAsia="Calibri"/>
          <w:kern w:val="2"/>
          <w14:ligatures w14:val="standardContextual"/>
        </w:rPr>
        <w:t xml:space="preserve"> </w:t>
      </w:r>
      <w:r w:rsidR="00AD7216">
        <w:rPr>
          <w:rFonts w:eastAsia="Calibri"/>
          <w:kern w:val="2"/>
          <w14:ligatures w14:val="standardContextual"/>
        </w:rPr>
        <w:t>CSWR-Texas argues that Ordering Paragraph No. 5</w:t>
      </w:r>
      <w:r w:rsidR="0024134D">
        <w:rPr>
          <w:rFonts w:eastAsia="Calibri"/>
          <w:kern w:val="2"/>
          <w14:ligatures w14:val="standardContextual"/>
        </w:rPr>
        <w:t xml:space="preserve"> </w:t>
      </w:r>
      <w:r w:rsidR="00AD7216">
        <w:rPr>
          <w:rFonts w:eastAsia="Calibri"/>
          <w:kern w:val="2"/>
          <w14:ligatures w14:val="standardContextual"/>
        </w:rPr>
        <w:t>force</w:t>
      </w:r>
      <w:r w:rsidR="0024134D">
        <w:rPr>
          <w:rFonts w:eastAsia="Calibri"/>
          <w:kern w:val="2"/>
          <w14:ligatures w14:val="standardContextual"/>
        </w:rPr>
        <w:t>s</w:t>
      </w:r>
      <w:r w:rsidR="00AD7216">
        <w:rPr>
          <w:rFonts w:eastAsia="Calibri"/>
          <w:kern w:val="2"/>
          <w14:ligatures w14:val="standardContextual"/>
        </w:rPr>
        <w:t xml:space="preserve"> utilities to violate </w:t>
      </w:r>
      <w:r w:rsidR="00AD7216">
        <w:t>TWC § 13.250.</w:t>
      </w:r>
      <w:r w:rsidR="00AD7216">
        <w:rPr>
          <w:rStyle w:val="FootnoteReference"/>
        </w:rPr>
        <w:footnoteReference w:id="9"/>
      </w:r>
      <w:r w:rsidR="00AD7216">
        <w:t xml:space="preserve"> </w:t>
      </w:r>
    </w:p>
    <w:p w14:paraId="2BE53279" w14:textId="383D3A54" w:rsidR="00B36958" w:rsidRDefault="00AD7216" w:rsidP="00791469">
      <w:pPr>
        <w:pStyle w:val="Paragraph"/>
      </w:pPr>
      <w:r>
        <w:t>Staff notes that the</w:t>
      </w:r>
      <w:r w:rsidR="0014498A">
        <w:t xml:space="preserve"> requirement to provide continuous and adequate service under </w:t>
      </w:r>
      <w:r w:rsidR="0014498A" w:rsidRPr="00B571E2">
        <w:rPr>
          <w:rFonts w:eastAsia="Calibri"/>
          <w:kern w:val="2"/>
          <w14:ligatures w14:val="standardContextual"/>
        </w:rPr>
        <w:t>TWC §</w:t>
      </w:r>
      <w:r w:rsidR="00EF2A0E">
        <w:rPr>
          <w:rFonts w:eastAsia="Calibri"/>
          <w:kern w:val="2"/>
          <w14:ligatures w14:val="standardContextual"/>
        </w:rPr>
        <w:t> </w:t>
      </w:r>
      <w:r w:rsidR="0014498A" w:rsidRPr="00B571E2">
        <w:rPr>
          <w:rFonts w:eastAsia="Calibri"/>
          <w:kern w:val="2"/>
          <w14:ligatures w14:val="standardContextual"/>
        </w:rPr>
        <w:t>13.250</w:t>
      </w:r>
      <w:r w:rsidR="0014498A">
        <w:rPr>
          <w:rFonts w:eastAsia="Calibri"/>
          <w:kern w:val="2"/>
          <w14:ligatures w14:val="standardContextual"/>
        </w:rPr>
        <w:t xml:space="preserve">(a) applies to a retail public utility that either possesses or </w:t>
      </w:r>
      <w:r w:rsidR="0014498A">
        <w:rPr>
          <w:rFonts w:eastAsia="Calibri"/>
          <w:i/>
          <w:iCs/>
          <w:kern w:val="2"/>
          <w14:ligatures w14:val="standardContextual"/>
        </w:rPr>
        <w:t>is required to possess a CCN</w:t>
      </w:r>
      <w:r>
        <w:rPr>
          <w:rFonts w:eastAsia="Calibri"/>
          <w:kern w:val="2"/>
          <w14:ligatures w14:val="standardContextual"/>
        </w:rPr>
        <w:t>.</w:t>
      </w:r>
      <w:r w:rsidR="00F9286A">
        <w:rPr>
          <w:rStyle w:val="FootnoteReference"/>
          <w:rFonts w:eastAsia="Calibri"/>
          <w14:ligatures w14:val="standardContextual"/>
        </w:rPr>
        <w:footnoteReference w:id="10"/>
      </w:r>
      <w:r>
        <w:rPr>
          <w:rFonts w:eastAsia="Calibri"/>
          <w:kern w:val="2"/>
          <w14:ligatures w14:val="standardContextual"/>
        </w:rPr>
        <w:t xml:space="preserve"> Furthermore, </w:t>
      </w:r>
      <w:r w:rsidRPr="00B571E2">
        <w:rPr>
          <w:rFonts w:eastAsia="Calibri"/>
          <w:kern w:val="2"/>
          <w14:ligatures w14:val="standardContextual"/>
        </w:rPr>
        <w:t>TWC § 13.250</w:t>
      </w:r>
      <w:r>
        <w:rPr>
          <w:rFonts w:eastAsia="Calibri"/>
          <w:kern w:val="2"/>
          <w14:ligatures w14:val="standardContextual"/>
        </w:rPr>
        <w:t>(b) applies to a person that comes into possession of facilities used to provide service and prohibits such persons from discontinuing, reducing, or impairing service to a certificate service area</w:t>
      </w:r>
      <w:r w:rsidR="00F9286A">
        <w:rPr>
          <w:rFonts w:eastAsia="Calibri"/>
          <w:kern w:val="2"/>
          <w14:ligatures w14:val="standardContextual"/>
        </w:rPr>
        <w:t xml:space="preserve"> without Commission approval except in limited circumstances</w:t>
      </w:r>
      <w:r w:rsidR="00AC0A05">
        <w:rPr>
          <w:rFonts w:eastAsia="Calibri"/>
          <w:kern w:val="2"/>
          <w14:ligatures w14:val="standardContextual"/>
        </w:rPr>
        <w:t>.</w:t>
      </w:r>
      <w:r w:rsidR="00F9286A">
        <w:rPr>
          <w:rStyle w:val="FootnoteReference"/>
          <w:rFonts w:eastAsia="Calibri"/>
          <w14:ligatures w14:val="standardContextual"/>
        </w:rPr>
        <w:footnoteReference w:id="11"/>
      </w:r>
      <w:r w:rsidR="00AC0A05">
        <w:rPr>
          <w:rFonts w:eastAsia="Calibri"/>
          <w:kern w:val="2"/>
          <w14:ligatures w14:val="standardContextual"/>
        </w:rPr>
        <w:t xml:space="preserve"> More specifically, the </w:t>
      </w:r>
      <w:r w:rsidR="004F437A">
        <w:rPr>
          <w:rFonts w:eastAsia="Calibri"/>
          <w:kern w:val="2"/>
          <w14:ligatures w14:val="standardContextual"/>
        </w:rPr>
        <w:t>L</w:t>
      </w:r>
      <w:r w:rsidR="00AC0A05">
        <w:rPr>
          <w:rFonts w:eastAsia="Calibri"/>
          <w:kern w:val="2"/>
          <w14:ligatures w14:val="standardContextual"/>
        </w:rPr>
        <w:t>egislat</w:t>
      </w:r>
      <w:r w:rsidR="004F437A">
        <w:rPr>
          <w:rFonts w:eastAsia="Calibri"/>
          <w:kern w:val="2"/>
          <w14:ligatures w14:val="standardContextual"/>
        </w:rPr>
        <w:t>ure</w:t>
      </w:r>
      <w:r w:rsidR="00AC0A05">
        <w:rPr>
          <w:rFonts w:eastAsia="Calibri"/>
          <w:kern w:val="2"/>
          <w14:ligatures w14:val="standardContextual"/>
        </w:rPr>
        <w:t xml:space="preserve"> inten</w:t>
      </w:r>
      <w:r w:rsidR="004F437A">
        <w:rPr>
          <w:rFonts w:eastAsia="Calibri"/>
          <w:kern w:val="2"/>
          <w14:ligatures w14:val="standardContextual"/>
        </w:rPr>
        <w:t>ded</w:t>
      </w:r>
      <w:r w:rsidR="00AC0A05">
        <w:rPr>
          <w:rFonts w:eastAsia="Calibri"/>
          <w:kern w:val="2"/>
          <w14:ligatures w14:val="standardContextual"/>
        </w:rPr>
        <w:t xml:space="preserve"> this language in </w:t>
      </w:r>
      <w:r w:rsidR="00AC0A05" w:rsidRPr="00B571E2">
        <w:rPr>
          <w:rFonts w:eastAsia="Calibri"/>
          <w:kern w:val="2"/>
          <w14:ligatures w14:val="standardContextual"/>
        </w:rPr>
        <w:t>TWC § 13.250</w:t>
      </w:r>
      <w:r w:rsidR="00AC0A05">
        <w:rPr>
          <w:rFonts w:eastAsia="Calibri"/>
          <w:kern w:val="2"/>
          <w14:ligatures w14:val="standardContextual"/>
        </w:rPr>
        <w:t xml:space="preserve">(b) </w:t>
      </w:r>
      <w:r w:rsidR="00F9286A">
        <w:rPr>
          <w:rFonts w:eastAsia="Calibri"/>
          <w:kern w:val="2"/>
          <w14:ligatures w14:val="standardContextual"/>
        </w:rPr>
        <w:t>to require such persons who came into possession of service facilities to continue service to everyone within the certificate</w:t>
      </w:r>
      <w:r w:rsidR="00EF2A0E">
        <w:rPr>
          <w:rFonts w:eastAsia="Calibri"/>
          <w:kern w:val="2"/>
          <w14:ligatures w14:val="standardContextual"/>
        </w:rPr>
        <w:t>d service</w:t>
      </w:r>
      <w:r w:rsidR="00F9286A">
        <w:rPr>
          <w:rFonts w:eastAsia="Calibri"/>
          <w:kern w:val="2"/>
          <w14:ligatures w14:val="standardContextual"/>
        </w:rPr>
        <w:t xml:space="preserve"> area.</w:t>
      </w:r>
      <w:r w:rsidR="00F9286A">
        <w:rPr>
          <w:rStyle w:val="FootnoteReference"/>
          <w:rFonts w:eastAsia="Calibri"/>
          <w14:ligatures w14:val="standardContextual"/>
        </w:rPr>
        <w:footnoteReference w:id="12"/>
      </w:r>
      <w:r w:rsidR="00F9286A">
        <w:rPr>
          <w:rFonts w:eastAsia="Calibri"/>
          <w:kern w:val="2"/>
          <w14:ligatures w14:val="standardContextual"/>
        </w:rPr>
        <w:t xml:space="preserve"> Lastly,</w:t>
      </w:r>
      <w:r w:rsidR="0014498A">
        <w:rPr>
          <w:rFonts w:eastAsia="Calibri"/>
          <w:kern w:val="2"/>
          <w14:ligatures w14:val="standardContextual"/>
        </w:rPr>
        <w:t xml:space="preserve"> </w:t>
      </w:r>
      <w:r w:rsidR="0014498A" w:rsidRPr="00B571E2">
        <w:rPr>
          <w:rFonts w:eastAsia="Calibri"/>
          <w:kern w:val="2"/>
          <w14:ligatures w14:val="standardContextual"/>
        </w:rPr>
        <w:t>TWC § 13.250</w:t>
      </w:r>
      <w:r w:rsidR="0014498A">
        <w:rPr>
          <w:rFonts w:eastAsia="Calibri"/>
          <w:kern w:val="2"/>
          <w14:ligatures w14:val="standardContextual"/>
        </w:rPr>
        <w:t xml:space="preserve">(d) prohibits a retail public utility </w:t>
      </w:r>
      <w:r w:rsidR="0014498A" w:rsidRPr="0014498A">
        <w:rPr>
          <w:rFonts w:eastAsia="Calibri"/>
          <w:i/>
          <w:iCs/>
          <w:kern w:val="2"/>
          <w14:ligatures w14:val="standardContextual"/>
        </w:rPr>
        <w:t>that has not been granted a CCN</w:t>
      </w:r>
      <w:r w:rsidR="0014498A">
        <w:rPr>
          <w:rFonts w:eastAsia="Calibri"/>
          <w:kern w:val="2"/>
          <w14:ligatures w14:val="standardContextual"/>
        </w:rPr>
        <w:t xml:space="preserve"> from discontinuing, reducing, or impairing service to any ratepayer without </w:t>
      </w:r>
      <w:r w:rsidR="0014498A">
        <w:rPr>
          <w:rFonts w:eastAsia="Calibri"/>
          <w:kern w:val="2"/>
          <w14:ligatures w14:val="standardContextual"/>
        </w:rPr>
        <w:lastRenderedPageBreak/>
        <w:t>Commission approval</w:t>
      </w:r>
      <w:r w:rsidR="00EF2A0E">
        <w:rPr>
          <w:rFonts w:eastAsia="Calibri"/>
          <w:kern w:val="2"/>
          <w14:ligatures w14:val="standardContextual"/>
        </w:rPr>
        <w:t xml:space="preserve"> </w:t>
      </w:r>
      <w:r w:rsidR="0014498A">
        <w:rPr>
          <w:rFonts w:eastAsia="Calibri"/>
          <w:kern w:val="2"/>
          <w14:ligatures w14:val="standardContextual"/>
        </w:rPr>
        <w:t>except in limited circumstances.</w:t>
      </w:r>
      <w:r w:rsidR="00F9286A">
        <w:rPr>
          <w:rStyle w:val="FootnoteReference"/>
          <w:rFonts w:eastAsia="Calibri"/>
          <w14:ligatures w14:val="standardContextual"/>
        </w:rPr>
        <w:footnoteReference w:id="13"/>
      </w:r>
      <w:r w:rsidR="0014498A">
        <w:rPr>
          <w:rFonts w:eastAsia="Calibri"/>
          <w:kern w:val="2"/>
          <w14:ligatures w14:val="standardContextual"/>
        </w:rPr>
        <w:t xml:space="preserve"> </w:t>
      </w:r>
      <w:r w:rsidR="0024134D">
        <w:rPr>
          <w:rFonts w:eastAsia="Calibri"/>
          <w:kern w:val="2"/>
          <w14:ligatures w14:val="standardContextual"/>
        </w:rPr>
        <w:t xml:space="preserve">Staff therefore agrees that </w:t>
      </w:r>
      <w:r w:rsidR="00BB52B1" w:rsidRPr="00B571E2">
        <w:rPr>
          <w:rFonts w:eastAsia="Calibri"/>
          <w:kern w:val="2"/>
          <w14:ligatures w14:val="standardContextual"/>
        </w:rPr>
        <w:t>TWC § 13.250</w:t>
      </w:r>
      <w:r>
        <w:rPr>
          <w:rFonts w:eastAsia="Calibri"/>
          <w:kern w:val="2"/>
          <w14:ligatures w14:val="standardContextual"/>
        </w:rPr>
        <w:t xml:space="preserve"> </w:t>
      </w:r>
      <w:r w:rsidR="0024134D">
        <w:rPr>
          <w:rFonts w:eastAsia="Calibri"/>
          <w:kern w:val="2"/>
          <w14:ligatures w14:val="standardContextual"/>
        </w:rPr>
        <w:t>allows, and may even require,</w:t>
      </w:r>
      <w:r>
        <w:rPr>
          <w:rFonts w:eastAsia="Calibri"/>
          <w:kern w:val="2"/>
          <w14:ligatures w14:val="standardContextual"/>
        </w:rPr>
        <w:t xml:space="preserve"> TWU to provide continuous and adequate service </w:t>
      </w:r>
      <w:r w:rsidR="007D0388">
        <w:rPr>
          <w:rFonts w:eastAsia="Calibri"/>
          <w:kern w:val="2"/>
          <w14:ligatures w14:val="standardContextual"/>
        </w:rPr>
        <w:t xml:space="preserve">to Woodland Oaks’ customers within Woodland Oaks’ CCNs once the transaction is closed, </w:t>
      </w:r>
      <w:r>
        <w:rPr>
          <w:rFonts w:eastAsia="Calibri"/>
          <w:kern w:val="2"/>
          <w14:ligatures w14:val="standardContextual"/>
        </w:rPr>
        <w:t xml:space="preserve">regardless of TWU’s certification status </w:t>
      </w:r>
      <w:r w:rsidR="004B430F">
        <w:rPr>
          <w:rFonts w:eastAsia="Calibri"/>
          <w:kern w:val="2"/>
          <w14:ligatures w14:val="standardContextual"/>
        </w:rPr>
        <w:t>under</w:t>
      </w:r>
      <w:r>
        <w:rPr>
          <w:rFonts w:eastAsia="Calibri"/>
          <w:kern w:val="2"/>
          <w14:ligatures w14:val="standardContextual"/>
        </w:rPr>
        <w:t xml:space="preserve"> </w:t>
      </w:r>
      <w:r>
        <w:t xml:space="preserve">TWC § 13.242(a). </w:t>
      </w:r>
    </w:p>
    <w:p w14:paraId="7C481136" w14:textId="402FA5C4" w:rsidR="005103F2" w:rsidRDefault="00B627D3" w:rsidP="005103F2">
      <w:pPr>
        <w:pStyle w:val="Paragraph"/>
        <w:rPr>
          <w:rFonts w:eastAsia="Calibri"/>
          <w:kern w:val="2"/>
          <w14:ligatures w14:val="standardContextual"/>
        </w:rPr>
      </w:pPr>
      <w:r>
        <w:t>Th</w:t>
      </w:r>
      <w:r w:rsidR="00DB074A">
        <w:t xml:space="preserve">is however does not </w:t>
      </w:r>
      <w:r w:rsidR="00DB074A">
        <w:rPr>
          <w:rFonts w:eastAsia="Calibri"/>
          <w:kern w:val="2"/>
          <w14:ligatures w14:val="standardContextual"/>
        </w:rPr>
        <w:t xml:space="preserve">resolve the conflict </w:t>
      </w:r>
      <w:r w:rsidR="00720B98">
        <w:rPr>
          <w:rFonts w:eastAsia="Calibri"/>
          <w:kern w:val="2"/>
          <w14:ligatures w14:val="standardContextual"/>
        </w:rPr>
        <w:t xml:space="preserve">Ordering Paragraph No. 5 </w:t>
      </w:r>
      <w:r w:rsidR="00DB074A">
        <w:rPr>
          <w:rFonts w:eastAsia="Calibri"/>
          <w:kern w:val="2"/>
          <w14:ligatures w14:val="standardContextual"/>
        </w:rPr>
        <w:t>has created by requiring Woodland Oaks to continue to provid</w:t>
      </w:r>
      <w:r w:rsidR="00592914">
        <w:rPr>
          <w:rFonts w:eastAsia="Calibri"/>
          <w:kern w:val="2"/>
          <w14:ligatures w14:val="standardContextual"/>
        </w:rPr>
        <w:t xml:space="preserve">e </w:t>
      </w:r>
      <w:r w:rsidR="00DB074A">
        <w:rPr>
          <w:rFonts w:eastAsia="Calibri"/>
          <w:kern w:val="2"/>
          <w14:ligatures w14:val="standardContextual"/>
        </w:rPr>
        <w:t>service until the issuance of a final order. J</w:t>
      </w:r>
      <w:r w:rsidR="00B36958">
        <w:rPr>
          <w:rFonts w:eastAsia="Calibri"/>
          <w:kern w:val="2"/>
          <w14:ligatures w14:val="standardContextual"/>
        </w:rPr>
        <w:t xml:space="preserve">ust as </w:t>
      </w:r>
      <w:r w:rsidR="00B36958" w:rsidRPr="00B571E2">
        <w:rPr>
          <w:rFonts w:eastAsia="Calibri"/>
          <w:kern w:val="2"/>
          <w14:ligatures w14:val="standardContextual"/>
        </w:rPr>
        <w:t>TWC §</w:t>
      </w:r>
      <w:r w:rsidR="00B36958">
        <w:rPr>
          <w:rFonts w:eastAsia="Calibri"/>
        </w:rPr>
        <w:t> </w:t>
      </w:r>
      <w:r w:rsidR="00B36958" w:rsidRPr="00B571E2">
        <w:rPr>
          <w:rFonts w:eastAsia="Calibri"/>
          <w:kern w:val="2"/>
          <w14:ligatures w14:val="standardContextual"/>
        </w:rPr>
        <w:t>13.250</w:t>
      </w:r>
      <w:r w:rsidR="00B36958">
        <w:rPr>
          <w:rFonts w:eastAsia="Calibri"/>
          <w:kern w:val="2"/>
          <w14:ligatures w14:val="standardContextual"/>
        </w:rPr>
        <w:t xml:space="preserve">(b) </w:t>
      </w:r>
      <w:r w:rsidR="00DB074A">
        <w:rPr>
          <w:rFonts w:eastAsia="Calibri"/>
          <w:kern w:val="2"/>
          <w14:ligatures w14:val="standardContextual"/>
        </w:rPr>
        <w:t xml:space="preserve">applies to </w:t>
      </w:r>
      <w:r w:rsidR="00B36958">
        <w:rPr>
          <w:rFonts w:eastAsia="Calibri"/>
          <w:kern w:val="2"/>
          <w14:ligatures w14:val="standardContextual"/>
        </w:rPr>
        <w:t xml:space="preserve">TWU once it closes the transaction and becomes the owner of the facilities, </w:t>
      </w:r>
      <w:r w:rsidR="00B36958" w:rsidRPr="00B571E2">
        <w:rPr>
          <w:rFonts w:eastAsia="Calibri"/>
          <w:kern w:val="2"/>
          <w14:ligatures w14:val="standardContextual"/>
        </w:rPr>
        <w:t>TWC §</w:t>
      </w:r>
      <w:r w:rsidR="00B36958">
        <w:rPr>
          <w:rFonts w:eastAsia="Calibri"/>
        </w:rPr>
        <w:t> </w:t>
      </w:r>
      <w:r w:rsidR="00B36958" w:rsidRPr="00B571E2">
        <w:rPr>
          <w:rFonts w:eastAsia="Calibri"/>
          <w:kern w:val="2"/>
          <w14:ligatures w14:val="standardContextual"/>
        </w:rPr>
        <w:t>13.25</w:t>
      </w:r>
      <w:r w:rsidR="00B36958">
        <w:rPr>
          <w:rFonts w:eastAsia="Calibri"/>
          <w:kern w:val="2"/>
          <w14:ligatures w14:val="standardContextual"/>
        </w:rPr>
        <w:t>0(</w:t>
      </w:r>
      <w:r w:rsidR="00EE2ECB">
        <w:rPr>
          <w:rFonts w:eastAsia="Calibri"/>
          <w:kern w:val="2"/>
          <w14:ligatures w14:val="standardContextual"/>
        </w:rPr>
        <w:t>b</w:t>
      </w:r>
      <w:r w:rsidR="00B36958">
        <w:rPr>
          <w:rFonts w:eastAsia="Calibri"/>
          <w:kern w:val="2"/>
          <w14:ligatures w14:val="standardContextual"/>
        </w:rPr>
        <w:t>) conversely appl</w:t>
      </w:r>
      <w:r w:rsidR="00DB074A">
        <w:rPr>
          <w:rFonts w:eastAsia="Calibri"/>
          <w:kern w:val="2"/>
          <w14:ligatures w14:val="standardContextual"/>
        </w:rPr>
        <w:t>ies</w:t>
      </w:r>
      <w:r w:rsidR="00B36958">
        <w:rPr>
          <w:rFonts w:eastAsia="Calibri"/>
          <w:kern w:val="2"/>
          <w14:ligatures w14:val="standardContextual"/>
        </w:rPr>
        <w:t xml:space="preserve"> to Woodland Oaks and allow</w:t>
      </w:r>
      <w:r w:rsidR="00DB074A">
        <w:rPr>
          <w:rFonts w:eastAsia="Calibri"/>
          <w:kern w:val="2"/>
          <w14:ligatures w14:val="standardContextual"/>
        </w:rPr>
        <w:t>s</w:t>
      </w:r>
      <w:r w:rsidR="00B36958">
        <w:rPr>
          <w:rFonts w:eastAsia="Calibri"/>
          <w:kern w:val="2"/>
          <w14:ligatures w14:val="standardContextual"/>
        </w:rPr>
        <w:t xml:space="preserve"> </w:t>
      </w:r>
      <w:r w:rsidR="00E840B3">
        <w:rPr>
          <w:rFonts w:eastAsia="Calibri"/>
          <w:kern w:val="2"/>
          <w14:ligatures w14:val="standardContextual"/>
        </w:rPr>
        <w:t>it</w:t>
      </w:r>
      <w:r w:rsidR="00B36958">
        <w:rPr>
          <w:rFonts w:eastAsia="Calibri"/>
          <w:kern w:val="2"/>
          <w14:ligatures w14:val="standardContextual"/>
        </w:rPr>
        <w:t xml:space="preserve"> to discontinue service without Commission approval under the limited exceptions, despite the language in Ordering Paragraph No. 5 ordering Woodland Oaks to the contrary. Specifically, Staff </w:t>
      </w:r>
      <w:r w:rsidR="008B0B31">
        <w:rPr>
          <w:rFonts w:eastAsia="Calibri"/>
          <w:kern w:val="2"/>
          <w14:ligatures w14:val="standardContextual"/>
        </w:rPr>
        <w:t>contends</w:t>
      </w:r>
      <w:r w:rsidR="00B36958">
        <w:rPr>
          <w:rFonts w:eastAsia="Calibri"/>
          <w:kern w:val="2"/>
          <w14:ligatures w14:val="standardContextual"/>
        </w:rPr>
        <w:t xml:space="preserve"> that once Woodland Oaks no longer owns the facilities used to provide service and</w:t>
      </w:r>
      <w:r w:rsidR="00E840B3">
        <w:rPr>
          <w:rFonts w:eastAsia="Calibri"/>
          <w:kern w:val="2"/>
          <w14:ligatures w14:val="standardContextual"/>
        </w:rPr>
        <w:t xml:space="preserve"> is</w:t>
      </w:r>
      <w:r w:rsidR="00B36958">
        <w:rPr>
          <w:rFonts w:eastAsia="Calibri"/>
          <w:kern w:val="2"/>
          <w14:ligatures w14:val="standardContextual"/>
        </w:rPr>
        <w:t xml:space="preserve"> no </w:t>
      </w:r>
      <w:r w:rsidR="00E840B3">
        <w:rPr>
          <w:rFonts w:eastAsia="Calibri"/>
          <w:kern w:val="2"/>
          <w14:ligatures w14:val="standardContextual"/>
        </w:rPr>
        <w:t xml:space="preserve">longer </w:t>
      </w:r>
      <w:r w:rsidR="00B36958">
        <w:rPr>
          <w:rFonts w:eastAsia="Calibri"/>
          <w:kern w:val="2"/>
          <w14:ligatures w14:val="standardContextual"/>
        </w:rPr>
        <w:t>liab</w:t>
      </w:r>
      <w:r w:rsidR="00E840B3">
        <w:rPr>
          <w:rFonts w:eastAsia="Calibri"/>
          <w:kern w:val="2"/>
          <w14:ligatures w14:val="standardContextual"/>
        </w:rPr>
        <w:t>le</w:t>
      </w:r>
      <w:r w:rsidR="00B36958">
        <w:rPr>
          <w:rFonts w:eastAsia="Calibri"/>
          <w:kern w:val="2"/>
          <w14:ligatures w14:val="standardContextual"/>
        </w:rPr>
        <w:t xml:space="preserve"> under the transaction to provide service, such facilities would be subject to </w:t>
      </w:r>
      <w:r w:rsidR="00B36958" w:rsidRPr="00B571E2">
        <w:rPr>
          <w:rFonts w:eastAsia="Calibri"/>
          <w:kern w:val="2"/>
          <w14:ligatures w14:val="standardContextual"/>
        </w:rPr>
        <w:t>TWC §</w:t>
      </w:r>
      <w:r w:rsidR="00B36958">
        <w:rPr>
          <w:rFonts w:eastAsia="Calibri"/>
        </w:rPr>
        <w:t> </w:t>
      </w:r>
      <w:r w:rsidR="00B36958" w:rsidRPr="00B571E2">
        <w:rPr>
          <w:rFonts w:eastAsia="Calibri"/>
          <w:kern w:val="2"/>
          <w14:ligatures w14:val="standardContextual"/>
        </w:rPr>
        <w:t>13.250</w:t>
      </w:r>
      <w:r w:rsidR="00B36958">
        <w:rPr>
          <w:rFonts w:eastAsia="Calibri"/>
          <w:kern w:val="2"/>
          <w14:ligatures w14:val="standardContextual"/>
        </w:rPr>
        <w:t xml:space="preserve">(b)(3) for nonuse by Woodland Oaks and </w:t>
      </w:r>
      <w:r w:rsidR="00B36958" w:rsidRPr="00B571E2">
        <w:rPr>
          <w:rFonts w:eastAsia="Calibri"/>
          <w:kern w:val="2"/>
          <w14:ligatures w14:val="standardContextual"/>
        </w:rPr>
        <w:t>TWC §</w:t>
      </w:r>
      <w:r w:rsidR="00B36958">
        <w:rPr>
          <w:rFonts w:eastAsia="Calibri"/>
        </w:rPr>
        <w:t> </w:t>
      </w:r>
      <w:r w:rsidR="00B36958" w:rsidRPr="00B571E2">
        <w:rPr>
          <w:rFonts w:eastAsia="Calibri"/>
          <w:kern w:val="2"/>
          <w14:ligatures w14:val="standardContextual"/>
        </w:rPr>
        <w:t>13.250</w:t>
      </w:r>
      <w:r w:rsidR="00B36958">
        <w:rPr>
          <w:rFonts w:eastAsia="Calibri"/>
          <w:kern w:val="2"/>
          <w14:ligatures w14:val="standardContextual"/>
        </w:rPr>
        <w:t>(b)(4) for other similar reasons in the usual course of business.</w:t>
      </w:r>
    </w:p>
    <w:p w14:paraId="43C71D2A" w14:textId="5BE55C36" w:rsidR="00C61230" w:rsidRPr="001D5D7E" w:rsidRDefault="008B0B31" w:rsidP="00D32CA6">
      <w:pPr>
        <w:pStyle w:val="Paragraph"/>
        <w:rPr>
          <w:rFonts w:eastAsia="Calibri"/>
          <w:kern w:val="2"/>
          <w14:ligatures w14:val="standardContextual"/>
        </w:rPr>
      </w:pPr>
      <w:r>
        <w:rPr>
          <w:rFonts w:eastAsia="Calibri"/>
          <w:kern w:val="2"/>
          <w14:ligatures w14:val="standardContextual"/>
        </w:rPr>
        <w:t>Additionally</w:t>
      </w:r>
      <w:r w:rsidR="005103F2">
        <w:rPr>
          <w:rFonts w:eastAsia="Calibri"/>
          <w:kern w:val="2"/>
          <w14:ligatures w14:val="standardContextual"/>
        </w:rPr>
        <w:t xml:space="preserve">, </w:t>
      </w:r>
      <w:r w:rsidR="005103F2" w:rsidRPr="00D97E37">
        <w:rPr>
          <w:rFonts w:eastAsia="Calibri"/>
          <w:kern w:val="2"/>
          <w14:ligatures w14:val="standardContextual"/>
        </w:rPr>
        <w:t xml:space="preserve">TWC § 13.254(a)(3) </w:t>
      </w:r>
      <w:r w:rsidR="005103F2">
        <w:rPr>
          <w:rFonts w:eastAsia="Calibri"/>
          <w:kern w:val="2"/>
          <w14:ligatures w14:val="standardContextual"/>
        </w:rPr>
        <w:t>contemplate</w:t>
      </w:r>
      <w:r w:rsidR="00D32CA6">
        <w:rPr>
          <w:rFonts w:eastAsia="Calibri"/>
          <w:kern w:val="2"/>
          <w14:ligatures w14:val="standardContextual"/>
        </w:rPr>
        <w:t>s</w:t>
      </w:r>
      <w:r w:rsidR="005103F2">
        <w:rPr>
          <w:rFonts w:eastAsia="Calibri"/>
          <w:kern w:val="2"/>
          <w14:ligatures w14:val="standardContextual"/>
        </w:rPr>
        <w:t xml:space="preserve"> the provision of service without a CCN.</w:t>
      </w:r>
      <w:r w:rsidR="00D32CA6">
        <w:rPr>
          <w:rFonts w:eastAsia="Calibri"/>
          <w:kern w:val="2"/>
          <w14:ligatures w14:val="standardContextual"/>
        </w:rPr>
        <w:t xml:space="preserve"> This provision </w:t>
      </w:r>
      <w:r w:rsidR="005103F2">
        <w:rPr>
          <w:rFonts w:eastAsia="Calibri"/>
          <w:kern w:val="2"/>
          <w14:ligatures w14:val="standardContextual"/>
        </w:rPr>
        <w:t>allows for the decertification of a CCN to the extent a CCN hold</w:t>
      </w:r>
      <w:r w:rsidR="001D5D7E">
        <w:rPr>
          <w:rFonts w:eastAsia="Calibri"/>
          <w:kern w:val="2"/>
          <w14:ligatures w14:val="standardContextual"/>
        </w:rPr>
        <w:t>er</w:t>
      </w:r>
      <w:r w:rsidR="005103F2">
        <w:rPr>
          <w:rFonts w:eastAsia="Calibri"/>
          <w:kern w:val="2"/>
          <w14:ligatures w14:val="standardContextual"/>
        </w:rPr>
        <w:t xml:space="preserve"> has agreed in writing to allow another retail public utility to provide service within its service area, except for an interim period, without amending its certificate.</w:t>
      </w:r>
      <w:r w:rsidR="005103F2">
        <w:rPr>
          <w:rStyle w:val="FootnoteReference"/>
          <w:rFonts w:eastAsia="Calibri"/>
          <w14:ligatures w14:val="standardContextual"/>
        </w:rPr>
        <w:footnoteReference w:id="14"/>
      </w:r>
      <w:r w:rsidR="005103F2">
        <w:rPr>
          <w:rFonts w:eastAsia="Calibri"/>
          <w:kern w:val="2"/>
          <w14:ligatures w14:val="standardContextual"/>
        </w:rPr>
        <w:t xml:space="preserve"> </w:t>
      </w:r>
      <w:r w:rsidR="001D5D7E">
        <w:rPr>
          <w:rFonts w:eastAsia="Calibri"/>
          <w:kern w:val="2"/>
          <w14:ligatures w14:val="standardContextual"/>
        </w:rPr>
        <w:t xml:space="preserve">As an example, </w:t>
      </w:r>
      <w:r w:rsidR="005103F2" w:rsidRPr="00482168">
        <w:rPr>
          <w:rFonts w:eastAsia="Calibri"/>
          <w:kern w:val="2"/>
          <w14:ligatures w14:val="standardContextual"/>
        </w:rPr>
        <w:t xml:space="preserve">Somervell County Water District </w:t>
      </w:r>
      <w:r w:rsidR="00A61204">
        <w:rPr>
          <w:rFonts w:eastAsia="Calibri"/>
          <w:kern w:val="2"/>
          <w14:ligatures w14:val="standardContextual"/>
        </w:rPr>
        <w:t xml:space="preserve">(Somervell) </w:t>
      </w:r>
      <w:r w:rsidR="001D5D7E">
        <w:rPr>
          <w:rFonts w:eastAsia="Calibri"/>
          <w:kern w:val="2"/>
          <w14:ligatures w14:val="standardContextual"/>
        </w:rPr>
        <w:t>and</w:t>
      </w:r>
      <w:r w:rsidR="005103F2" w:rsidRPr="00482168">
        <w:rPr>
          <w:rFonts w:eastAsia="Calibri"/>
          <w:kern w:val="2"/>
          <w14:ligatures w14:val="standardContextual"/>
        </w:rPr>
        <w:t xml:space="preserve"> Sunset Park Water Corporation</w:t>
      </w:r>
      <w:r w:rsidR="005103F2">
        <w:rPr>
          <w:rFonts w:eastAsia="Calibri"/>
          <w:kern w:val="2"/>
          <w14:ligatures w14:val="standardContextual"/>
        </w:rPr>
        <w:t xml:space="preserve"> (Sunset Park)</w:t>
      </w:r>
      <w:r w:rsidR="00AE2295">
        <w:rPr>
          <w:rFonts w:eastAsia="Calibri"/>
          <w:kern w:val="2"/>
          <w14:ligatures w14:val="standardContextual"/>
        </w:rPr>
        <w:t xml:space="preserve"> had an agreement </w:t>
      </w:r>
      <w:r w:rsidR="001D5D7E">
        <w:rPr>
          <w:rFonts w:eastAsia="Calibri"/>
          <w:kern w:val="2"/>
          <w14:ligatures w14:val="standardContextual"/>
        </w:rPr>
        <w:t>in which Somervell</w:t>
      </w:r>
      <w:r w:rsidR="005103F2" w:rsidRPr="00482168">
        <w:rPr>
          <w:rFonts w:eastAsia="Calibri"/>
          <w:kern w:val="2"/>
          <w14:ligatures w14:val="standardContextual"/>
        </w:rPr>
        <w:t xml:space="preserve"> interconnect</w:t>
      </w:r>
      <w:r w:rsidR="001D5D7E">
        <w:rPr>
          <w:rFonts w:eastAsia="Calibri"/>
          <w:kern w:val="2"/>
          <w14:ligatures w14:val="standardContextual"/>
        </w:rPr>
        <w:t>ed</w:t>
      </w:r>
      <w:r w:rsidR="005103F2" w:rsidRPr="00482168">
        <w:rPr>
          <w:rFonts w:eastAsia="Calibri"/>
          <w:kern w:val="2"/>
          <w14:ligatures w14:val="standardContextual"/>
        </w:rPr>
        <w:t xml:space="preserve"> and provide</w:t>
      </w:r>
      <w:r w:rsidR="001D5D7E">
        <w:rPr>
          <w:rFonts w:eastAsia="Calibri"/>
          <w:kern w:val="2"/>
          <w14:ligatures w14:val="standardContextual"/>
        </w:rPr>
        <w:t>d</w:t>
      </w:r>
      <w:r w:rsidR="005103F2" w:rsidRPr="00482168">
        <w:rPr>
          <w:rFonts w:eastAsia="Calibri"/>
          <w:kern w:val="2"/>
          <w14:ligatures w14:val="standardContextual"/>
        </w:rPr>
        <w:t xml:space="preserve"> services within Sunset Park’s CCN after Sunset Park’s water system experienced mechanical failure.</w:t>
      </w:r>
      <w:r w:rsidR="005103F2">
        <w:rPr>
          <w:rStyle w:val="FootnoteReference"/>
          <w:rFonts w:eastAsia="Calibri"/>
          <w14:ligatures w14:val="standardContextual"/>
        </w:rPr>
        <w:footnoteReference w:id="15"/>
      </w:r>
      <w:r w:rsidR="005103F2" w:rsidRPr="00482168">
        <w:rPr>
          <w:rFonts w:eastAsia="Calibri"/>
          <w:kern w:val="2"/>
          <w14:ligatures w14:val="standardContextual"/>
        </w:rPr>
        <w:t xml:space="preserve"> Further, the application to cancel </w:t>
      </w:r>
      <w:r w:rsidR="005103F2">
        <w:rPr>
          <w:rFonts w:eastAsia="Calibri"/>
          <w:kern w:val="2"/>
          <w14:ligatures w14:val="standardContextual"/>
        </w:rPr>
        <w:t xml:space="preserve">Sunset Park’s CCN </w:t>
      </w:r>
      <w:r w:rsidR="005103F2" w:rsidRPr="00482168">
        <w:rPr>
          <w:rFonts w:eastAsia="Calibri"/>
          <w:kern w:val="2"/>
          <w14:ligatures w14:val="standardContextual"/>
        </w:rPr>
        <w:t>was filed after a period in which Somervell had already been serving Sunset Park’s customers.</w:t>
      </w:r>
      <w:r w:rsidR="005103F2">
        <w:rPr>
          <w:rStyle w:val="FootnoteReference"/>
          <w:rFonts w:eastAsia="Calibri"/>
          <w14:ligatures w14:val="standardContextual"/>
        </w:rPr>
        <w:footnoteReference w:id="16"/>
      </w:r>
      <w:r w:rsidR="005103F2" w:rsidRPr="00482168">
        <w:rPr>
          <w:rFonts w:eastAsia="Calibri"/>
          <w:kern w:val="2"/>
          <w14:ligatures w14:val="standardContextual"/>
        </w:rPr>
        <w:t xml:space="preserve"> While the application </w:t>
      </w:r>
      <w:r w:rsidR="005103F2">
        <w:rPr>
          <w:rFonts w:eastAsia="Calibri"/>
          <w:kern w:val="2"/>
          <w14:ligatures w14:val="standardContextual"/>
        </w:rPr>
        <w:t xml:space="preserve">ultimately </w:t>
      </w:r>
      <w:r w:rsidR="005103F2" w:rsidRPr="00482168">
        <w:rPr>
          <w:rFonts w:eastAsia="Calibri"/>
          <w:kern w:val="2"/>
          <w14:ligatures w14:val="standardContextual"/>
        </w:rPr>
        <w:t xml:space="preserve">did </w:t>
      </w:r>
      <w:r w:rsidR="005103F2">
        <w:rPr>
          <w:rFonts w:eastAsia="Calibri"/>
          <w:kern w:val="2"/>
          <w14:ligatures w14:val="standardContextual"/>
        </w:rPr>
        <w:t>not seek to amend</w:t>
      </w:r>
      <w:r w:rsidR="005103F2" w:rsidRPr="00482168">
        <w:rPr>
          <w:rFonts w:eastAsia="Calibri"/>
          <w:kern w:val="2"/>
          <w14:ligatures w14:val="standardContextual"/>
        </w:rPr>
        <w:t xml:space="preserve"> Somervell’s CCN,</w:t>
      </w:r>
      <w:r w:rsidR="005103F2">
        <w:rPr>
          <w:rStyle w:val="FootnoteReference"/>
          <w:rFonts w:eastAsia="Calibri"/>
          <w14:ligatures w14:val="standardContextual"/>
        </w:rPr>
        <w:footnoteReference w:id="17"/>
      </w:r>
      <w:r w:rsidR="005103F2" w:rsidRPr="00482168">
        <w:rPr>
          <w:rFonts w:eastAsia="Calibri"/>
          <w:kern w:val="2"/>
          <w14:ligatures w14:val="standardContextual"/>
        </w:rPr>
        <w:t xml:space="preserve"> it does present the Commission with an example where, if necessary, a utility can </w:t>
      </w:r>
      <w:r>
        <w:rPr>
          <w:rFonts w:eastAsia="Calibri"/>
          <w:kern w:val="2"/>
          <w14:ligatures w14:val="standardContextual"/>
        </w:rPr>
        <w:t>provide service</w:t>
      </w:r>
      <w:r w:rsidR="005103F2" w:rsidRPr="00482168">
        <w:rPr>
          <w:rFonts w:eastAsia="Calibri"/>
          <w:kern w:val="2"/>
          <w14:ligatures w14:val="standardContextual"/>
        </w:rPr>
        <w:t xml:space="preserve"> in another utility’s CCN</w:t>
      </w:r>
      <w:r w:rsidR="005103F2">
        <w:rPr>
          <w:rFonts w:eastAsia="Calibri"/>
          <w:kern w:val="2"/>
          <w14:ligatures w14:val="standardContextual"/>
        </w:rPr>
        <w:t xml:space="preserve"> without </w:t>
      </w:r>
      <w:r>
        <w:rPr>
          <w:rFonts w:eastAsia="Calibri"/>
          <w:kern w:val="2"/>
          <w14:ligatures w14:val="standardContextual"/>
        </w:rPr>
        <w:t xml:space="preserve">first </w:t>
      </w:r>
      <w:r w:rsidR="005103F2">
        <w:rPr>
          <w:rFonts w:eastAsia="Calibri"/>
          <w:kern w:val="2"/>
          <w14:ligatures w14:val="standardContextual"/>
        </w:rPr>
        <w:t>obtaining a CCN to serve in that same certificated service area</w:t>
      </w:r>
      <w:r w:rsidR="005103F2" w:rsidRPr="00482168">
        <w:rPr>
          <w:rFonts w:eastAsia="Calibri"/>
          <w:kern w:val="2"/>
          <w14:ligatures w14:val="standardContextual"/>
        </w:rPr>
        <w:t>.</w:t>
      </w:r>
      <w:r w:rsidR="009523CC">
        <w:rPr>
          <w:rFonts w:eastAsia="Calibri"/>
          <w:kern w:val="2"/>
          <w14:ligatures w14:val="standardContextual"/>
        </w:rPr>
        <w:t xml:space="preserve"> </w:t>
      </w:r>
      <w:r w:rsidR="009523CC">
        <w:rPr>
          <w:rFonts w:eastAsia="Calibri"/>
          <w:kern w:val="2"/>
          <w14:ligatures w14:val="standardContextual"/>
        </w:rPr>
        <w:lastRenderedPageBreak/>
        <w:t xml:space="preserve">Alternatively, although the STM transaction between </w:t>
      </w:r>
      <w:r w:rsidR="00A61204">
        <w:rPr>
          <w:rFonts w:eastAsia="Calibri"/>
          <w:kern w:val="2"/>
          <w14:ligatures w14:val="standardContextual"/>
        </w:rPr>
        <w:t>the Applicants</w:t>
      </w:r>
      <w:r w:rsidR="009523CC">
        <w:rPr>
          <w:rFonts w:eastAsia="Calibri"/>
          <w:kern w:val="2"/>
          <w14:ligatures w14:val="standardContextual"/>
        </w:rPr>
        <w:t xml:space="preserve"> is meant to be permanent, the period between the close of the transaction and the final order amending the CCNs</w:t>
      </w:r>
      <w:r w:rsidR="003C6651">
        <w:rPr>
          <w:rFonts w:eastAsia="Calibri"/>
          <w:kern w:val="2"/>
          <w14:ligatures w14:val="standardContextual"/>
        </w:rPr>
        <w:t xml:space="preserve"> could be considered an interim period</w:t>
      </w:r>
      <w:r>
        <w:rPr>
          <w:rFonts w:eastAsia="Calibri"/>
          <w:kern w:val="2"/>
          <w14:ligatures w14:val="standardContextual"/>
        </w:rPr>
        <w:t xml:space="preserve">. </w:t>
      </w:r>
      <w:r w:rsidR="000F18A3">
        <w:rPr>
          <w:rFonts w:eastAsia="Calibri"/>
          <w:kern w:val="2"/>
          <w14:ligatures w14:val="standardContextual"/>
        </w:rPr>
        <w:t>And</w:t>
      </w:r>
      <w:r w:rsidR="00E04434">
        <w:rPr>
          <w:rFonts w:eastAsia="Calibri"/>
          <w:kern w:val="2"/>
          <w14:ligatures w14:val="standardContextual"/>
        </w:rPr>
        <w:t xml:space="preserve"> </w:t>
      </w:r>
      <w:r w:rsidR="009523CC" w:rsidRPr="00D97E37">
        <w:rPr>
          <w:rFonts w:eastAsia="Calibri"/>
          <w:kern w:val="2"/>
          <w14:ligatures w14:val="standardContextual"/>
        </w:rPr>
        <w:t>TWC §§</w:t>
      </w:r>
      <w:r w:rsidR="009523CC">
        <w:rPr>
          <w:rFonts w:eastAsia="Calibri"/>
          <w:kern w:val="2"/>
          <w14:ligatures w14:val="standardContextual"/>
        </w:rPr>
        <w:t xml:space="preserve"> 13.242(a) and 13.254(a)(3) are not contemplated during such an interim period, </w:t>
      </w:r>
      <w:r>
        <w:rPr>
          <w:rFonts w:eastAsia="Calibri"/>
          <w:kern w:val="2"/>
          <w14:ligatures w14:val="standardContextual"/>
        </w:rPr>
        <w:t>thereby</w:t>
      </w:r>
      <w:r w:rsidR="009523CC">
        <w:rPr>
          <w:rFonts w:eastAsia="Calibri"/>
          <w:kern w:val="2"/>
          <w14:ligatures w14:val="standardContextual"/>
        </w:rPr>
        <w:t xml:space="preserve"> allow</w:t>
      </w:r>
      <w:r>
        <w:rPr>
          <w:rFonts w:eastAsia="Calibri"/>
          <w:kern w:val="2"/>
          <w14:ligatures w14:val="standardContextual"/>
        </w:rPr>
        <w:t>ing</w:t>
      </w:r>
      <w:r w:rsidR="009523CC">
        <w:rPr>
          <w:rFonts w:eastAsia="Calibri"/>
          <w:kern w:val="2"/>
          <w14:ligatures w14:val="standardContextual"/>
        </w:rPr>
        <w:t xml:space="preserve"> TWU to immediately provide service upon its acquisition of the </w:t>
      </w:r>
      <w:r>
        <w:rPr>
          <w:rFonts w:eastAsia="Calibri"/>
          <w:kern w:val="2"/>
          <w14:ligatures w14:val="standardContextual"/>
        </w:rPr>
        <w:t>facilities</w:t>
      </w:r>
      <w:r w:rsidR="00D32CA6">
        <w:rPr>
          <w:rFonts w:eastAsia="Calibri"/>
          <w:kern w:val="2"/>
          <w14:ligatures w14:val="standardContextual"/>
        </w:rPr>
        <w:t>.</w:t>
      </w:r>
      <w:r w:rsidR="001D5D7E">
        <w:rPr>
          <w:rFonts w:eastAsia="Calibri"/>
          <w:kern w:val="2"/>
          <w14:ligatures w14:val="standardContextual"/>
        </w:rPr>
        <w:t xml:space="preserve"> </w:t>
      </w:r>
    </w:p>
    <w:p w14:paraId="047BF87E" w14:textId="77777777" w:rsidR="00FD5C0A" w:rsidRDefault="00A442D8" w:rsidP="003112FF">
      <w:pPr>
        <w:pStyle w:val="Paragraph"/>
        <w:rPr>
          <w:rFonts w:eastAsia="Calibri"/>
          <w:kern w:val="2"/>
          <w14:ligatures w14:val="standardContextual"/>
        </w:rPr>
      </w:pPr>
      <w:r>
        <w:rPr>
          <w:rFonts w:eastAsia="Calibri"/>
          <w:kern w:val="2"/>
          <w14:ligatures w14:val="standardContextual"/>
        </w:rPr>
        <w:t>Aside from the foregoing potential statutory exceptions</w:t>
      </w:r>
      <w:r w:rsidR="00F6319D">
        <w:rPr>
          <w:rFonts w:eastAsia="Calibri"/>
          <w:kern w:val="2"/>
          <w14:ligatures w14:val="standardContextual"/>
        </w:rPr>
        <w:t>, if the</w:t>
      </w:r>
      <w:r>
        <w:rPr>
          <w:rFonts w:eastAsia="Calibri"/>
          <w:kern w:val="2"/>
          <w14:ligatures w14:val="standardContextual"/>
        </w:rPr>
        <w:t xml:space="preserve"> general rule under</w:t>
      </w:r>
      <w:r w:rsidRPr="00A442D8">
        <w:rPr>
          <w:rFonts w:eastAsia="Calibri"/>
          <w:kern w:val="2"/>
          <w14:ligatures w14:val="standardContextual"/>
        </w:rPr>
        <w:t xml:space="preserve"> </w:t>
      </w:r>
      <w:r w:rsidRPr="00D97E37">
        <w:rPr>
          <w:rFonts w:eastAsia="Calibri"/>
          <w:kern w:val="2"/>
          <w14:ligatures w14:val="standardContextual"/>
        </w:rPr>
        <w:t>TWC §</w:t>
      </w:r>
      <w:r>
        <w:rPr>
          <w:rFonts w:eastAsia="Calibri"/>
          <w:kern w:val="2"/>
          <w14:ligatures w14:val="standardContextual"/>
        </w:rPr>
        <w:t> 13.242(a</w:t>
      </w:r>
      <w:r w:rsidR="00F6319D">
        <w:rPr>
          <w:rFonts w:eastAsia="Calibri"/>
          <w:kern w:val="2"/>
          <w14:ligatures w14:val="standardContextual"/>
        </w:rPr>
        <w:t>)</w:t>
      </w:r>
      <w:r>
        <w:rPr>
          <w:rFonts w:eastAsia="Calibri"/>
          <w:kern w:val="2"/>
          <w14:ligatures w14:val="standardContextual"/>
        </w:rPr>
        <w:t xml:space="preserve"> </w:t>
      </w:r>
      <w:r w:rsidR="00182C83">
        <w:rPr>
          <w:rFonts w:eastAsia="Calibri"/>
          <w:kern w:val="2"/>
          <w14:ligatures w14:val="standardContextual"/>
        </w:rPr>
        <w:t xml:space="preserve">is </w:t>
      </w:r>
      <w:r>
        <w:rPr>
          <w:rFonts w:eastAsia="Calibri"/>
          <w:kern w:val="2"/>
          <w14:ligatures w14:val="standardContextual"/>
        </w:rPr>
        <w:t xml:space="preserve">still applied such that the Applicants must strictly follow Ordering Paragraph No. 5, Woodland Oaks could </w:t>
      </w:r>
      <w:r w:rsidR="00F6319D">
        <w:rPr>
          <w:rFonts w:eastAsia="Calibri"/>
          <w:kern w:val="2"/>
          <w14:ligatures w14:val="standardContextual"/>
        </w:rPr>
        <w:t xml:space="preserve">still </w:t>
      </w:r>
      <w:r>
        <w:rPr>
          <w:rFonts w:eastAsia="Calibri"/>
          <w:kern w:val="2"/>
          <w14:ligatures w14:val="standardContextual"/>
        </w:rPr>
        <w:t xml:space="preserve">satisfy this ordering paragraph through TWU’s provision of the service. Specifically, under </w:t>
      </w:r>
      <w:r w:rsidRPr="001449B5">
        <w:rPr>
          <w:rFonts w:eastAsia="Calibri"/>
          <w:i/>
          <w:iCs/>
          <w:kern w:val="2"/>
          <w14:ligatures w14:val="standardContextual"/>
        </w:rPr>
        <w:t xml:space="preserve">Bexar </w:t>
      </w:r>
      <w:r w:rsidR="00EE6B14" w:rsidRPr="001449B5">
        <w:rPr>
          <w:rFonts w:eastAsia="Calibri"/>
          <w:i/>
          <w:iCs/>
          <w:kern w:val="2"/>
          <w14:ligatures w14:val="standardContextual"/>
        </w:rPr>
        <w:t>Metro</w:t>
      </w:r>
      <w:r w:rsidR="00EE6B14">
        <w:rPr>
          <w:rFonts w:eastAsia="Calibri"/>
          <w:i/>
          <w:iCs/>
          <w:kern w:val="2"/>
          <w14:ligatures w14:val="standardContextual"/>
        </w:rPr>
        <w:t>.</w:t>
      </w:r>
      <w:r w:rsidR="00EE6B14" w:rsidRPr="001449B5">
        <w:rPr>
          <w:rFonts w:eastAsia="Calibri"/>
          <w:i/>
          <w:iCs/>
          <w:kern w:val="2"/>
          <w14:ligatures w14:val="standardContextual"/>
        </w:rPr>
        <w:t xml:space="preserve"> </w:t>
      </w:r>
      <w:r w:rsidRPr="001449B5">
        <w:rPr>
          <w:rFonts w:eastAsia="Calibri"/>
          <w:i/>
          <w:iCs/>
          <w:kern w:val="2"/>
          <w14:ligatures w14:val="standardContextual"/>
        </w:rPr>
        <w:t xml:space="preserve">Water Dist. v. Texas </w:t>
      </w:r>
      <w:proofErr w:type="spellStart"/>
      <w:r w:rsidRPr="001449B5">
        <w:rPr>
          <w:rFonts w:eastAsia="Calibri"/>
          <w:i/>
          <w:iCs/>
          <w:kern w:val="2"/>
          <w14:ligatures w14:val="standardContextual"/>
        </w:rPr>
        <w:t>Com’n</w:t>
      </w:r>
      <w:proofErr w:type="spellEnd"/>
      <w:r w:rsidRPr="001449B5">
        <w:rPr>
          <w:rFonts w:eastAsia="Calibri"/>
          <w:i/>
          <w:iCs/>
          <w:kern w:val="2"/>
          <w14:ligatures w14:val="standardContextual"/>
        </w:rPr>
        <w:t xml:space="preserve"> on Env</w:t>
      </w:r>
      <w:r w:rsidR="00EE6B14">
        <w:rPr>
          <w:rFonts w:eastAsia="Calibri"/>
          <w:i/>
          <w:iCs/>
          <w:kern w:val="2"/>
          <w14:ligatures w14:val="standardContextual"/>
        </w:rPr>
        <w:t>’</w:t>
      </w:r>
      <w:r w:rsidRPr="001449B5">
        <w:rPr>
          <w:rFonts w:eastAsia="Calibri"/>
          <w:i/>
          <w:iCs/>
          <w:kern w:val="2"/>
          <w14:ligatures w14:val="standardContextual"/>
        </w:rPr>
        <w:t>t Quality</w:t>
      </w:r>
      <w:r>
        <w:rPr>
          <w:rFonts w:eastAsia="Calibri"/>
          <w:kern w:val="2"/>
          <w14:ligatures w14:val="standardContextual"/>
        </w:rPr>
        <w:t xml:space="preserve">, </w:t>
      </w:r>
      <w:r w:rsidR="00D32CA6">
        <w:rPr>
          <w:rFonts w:eastAsia="Calibri"/>
          <w:kern w:val="2"/>
          <w14:ligatures w14:val="standardContextual"/>
        </w:rPr>
        <w:t>ownership of the facilities used to provide service is not legally required</w:t>
      </w:r>
      <w:r>
        <w:rPr>
          <w:rFonts w:eastAsia="Calibri"/>
          <w:kern w:val="2"/>
          <w14:ligatures w14:val="standardContextual"/>
        </w:rPr>
        <w:t>.</w:t>
      </w:r>
      <w:r>
        <w:rPr>
          <w:rStyle w:val="FootnoteReference"/>
          <w:rFonts w:eastAsia="Calibri"/>
          <w14:ligatures w14:val="standardContextual"/>
        </w:rPr>
        <w:footnoteReference w:id="18"/>
      </w:r>
      <w:r>
        <w:rPr>
          <w:rFonts w:eastAsia="Calibri"/>
          <w:kern w:val="2"/>
          <w14:ligatures w14:val="standardContextual"/>
        </w:rPr>
        <w:t xml:space="preserve"> </w:t>
      </w:r>
      <w:r w:rsidR="00D32CA6">
        <w:rPr>
          <w:rFonts w:eastAsia="Calibri"/>
          <w:kern w:val="2"/>
          <w14:ligatures w14:val="standardContextual"/>
        </w:rPr>
        <w:t>This precedent was established when the City of Bulverde (Bulverde) sought to obtain a CCN.</w:t>
      </w:r>
      <w:r w:rsidR="00D32CA6">
        <w:rPr>
          <w:rStyle w:val="FootnoteReference"/>
          <w:rFonts w:eastAsia="Calibri"/>
          <w14:ligatures w14:val="standardContextual"/>
        </w:rPr>
        <w:footnoteReference w:id="19"/>
      </w:r>
      <w:r w:rsidR="00D32CA6">
        <w:rPr>
          <w:rFonts w:eastAsia="Calibri"/>
          <w:kern w:val="2"/>
          <w14:ligatures w14:val="standardContextual"/>
        </w:rPr>
        <w:t xml:space="preserve"> </w:t>
      </w:r>
      <w:r>
        <w:rPr>
          <w:rFonts w:eastAsia="Calibri"/>
          <w:kern w:val="2"/>
          <w14:ligatures w14:val="standardContextual"/>
        </w:rPr>
        <w:t xml:space="preserve">However, to satisfy the requirements of </w:t>
      </w:r>
      <w:r w:rsidRPr="00D97E37">
        <w:rPr>
          <w:rFonts w:eastAsia="Calibri"/>
          <w:kern w:val="2"/>
          <w14:ligatures w14:val="standardContextual"/>
        </w:rPr>
        <w:t xml:space="preserve">TWC </w:t>
      </w:r>
      <w:r w:rsidR="009622F0" w:rsidRPr="00D97E37">
        <w:rPr>
          <w:rFonts w:eastAsia="Calibri"/>
          <w:kern w:val="2"/>
          <w14:ligatures w14:val="standardContextual"/>
        </w:rPr>
        <w:t>§</w:t>
      </w:r>
      <w:r w:rsidR="009622F0">
        <w:rPr>
          <w:rFonts w:eastAsia="Calibri"/>
          <w:kern w:val="2"/>
          <w14:ligatures w14:val="standardContextual"/>
        </w:rPr>
        <w:t xml:space="preserve"> 13.241 </w:t>
      </w:r>
      <w:r w:rsidR="00EE6B14">
        <w:rPr>
          <w:rFonts w:eastAsia="Calibri"/>
          <w:kern w:val="2"/>
          <w14:ligatures w14:val="standardContextual"/>
        </w:rPr>
        <w:t>for a</w:t>
      </w:r>
      <w:r w:rsidR="009622F0">
        <w:rPr>
          <w:rFonts w:eastAsia="Calibri"/>
          <w:kern w:val="2"/>
          <w14:ligatures w14:val="standardContextual"/>
        </w:rPr>
        <w:t xml:space="preserve"> CCN, Bulverde presented, as the basis for its ability to provide service, its contract with the Guadalupe-Blanco River Authority (GBRA), which provided that GBRA would design, construct, operate, and maintain a water system on Bulverde’s behalf.</w:t>
      </w:r>
      <w:r w:rsidR="009622F0">
        <w:rPr>
          <w:rStyle w:val="FootnoteReference"/>
          <w:rFonts w:eastAsia="Calibri"/>
          <w14:ligatures w14:val="standardContextual"/>
        </w:rPr>
        <w:footnoteReference w:id="20"/>
      </w:r>
      <w:r w:rsidR="009622F0">
        <w:rPr>
          <w:rFonts w:eastAsia="Calibri"/>
          <w:kern w:val="2"/>
          <w14:ligatures w14:val="standardContextual"/>
        </w:rPr>
        <w:t xml:space="preserve"> </w:t>
      </w:r>
    </w:p>
    <w:p w14:paraId="2D2F395A" w14:textId="318CE00C" w:rsidR="00D573BF" w:rsidRDefault="009622F0" w:rsidP="003112FF">
      <w:pPr>
        <w:pStyle w:val="Paragraph"/>
        <w:rPr>
          <w:rFonts w:eastAsia="Calibri"/>
          <w:kern w:val="2"/>
          <w14:ligatures w14:val="standardContextual"/>
        </w:rPr>
      </w:pPr>
      <w:r>
        <w:rPr>
          <w:rFonts w:eastAsia="Calibri"/>
          <w:kern w:val="2"/>
          <w14:ligatures w14:val="standardContextual"/>
        </w:rPr>
        <w:t>The Commission issued an order granting Bulverde a CCN, which Bexar Metropolitan Water District, who had a competing CCN application for the same area, appealed.</w:t>
      </w:r>
      <w:r>
        <w:rPr>
          <w:rStyle w:val="FootnoteReference"/>
          <w:rFonts w:eastAsia="Calibri"/>
          <w14:ligatures w14:val="standardContextual"/>
        </w:rPr>
        <w:footnoteReference w:id="21"/>
      </w:r>
      <w:r>
        <w:rPr>
          <w:rFonts w:eastAsia="Calibri"/>
          <w:kern w:val="2"/>
          <w14:ligatures w14:val="standardContextual"/>
        </w:rPr>
        <w:t xml:space="preserve"> On appeal, the </w:t>
      </w:r>
      <w:r w:rsidR="00D32CA6">
        <w:rPr>
          <w:rFonts w:eastAsia="Calibri"/>
          <w:kern w:val="2"/>
          <w14:ligatures w14:val="standardContextual"/>
        </w:rPr>
        <w:t xml:space="preserve">Austin </w:t>
      </w:r>
      <w:r>
        <w:rPr>
          <w:rFonts w:eastAsia="Calibri"/>
          <w:kern w:val="2"/>
          <w14:ligatures w14:val="standardContextual"/>
        </w:rPr>
        <w:t xml:space="preserve">Court of Appeals ultimately affirmed the Commission’s order, holding that Bulverde met the requirements of TWC </w:t>
      </w:r>
      <w:r w:rsidRPr="00D97E37">
        <w:rPr>
          <w:rFonts w:eastAsia="Calibri"/>
          <w:kern w:val="2"/>
          <w14:ligatures w14:val="standardContextual"/>
        </w:rPr>
        <w:t>§</w:t>
      </w:r>
      <w:r>
        <w:rPr>
          <w:rFonts w:eastAsia="Calibri"/>
          <w:kern w:val="2"/>
          <w14:ligatures w14:val="standardContextual"/>
        </w:rPr>
        <w:t> 13.241 despite satisfying them through a contractor</w:t>
      </w:r>
      <w:r w:rsidR="003112FF">
        <w:rPr>
          <w:rFonts w:eastAsia="Calibri"/>
          <w:kern w:val="2"/>
          <w14:ligatures w14:val="standardContextual"/>
        </w:rPr>
        <w:t xml:space="preserve"> and </w:t>
      </w:r>
      <w:r>
        <w:rPr>
          <w:rFonts w:eastAsia="Calibri"/>
          <w:kern w:val="2"/>
          <w14:ligatures w14:val="standardContextual"/>
        </w:rPr>
        <w:t>that Bulverde was not required to own the facilities that would be used to provide service.</w:t>
      </w:r>
      <w:r>
        <w:rPr>
          <w:rStyle w:val="FootnoteReference"/>
          <w:rFonts w:eastAsia="Calibri"/>
          <w14:ligatures w14:val="standardContextual"/>
        </w:rPr>
        <w:footnoteReference w:id="22"/>
      </w:r>
      <w:r>
        <w:rPr>
          <w:rFonts w:eastAsia="Calibri"/>
          <w:kern w:val="2"/>
          <w14:ligatures w14:val="standardContextual"/>
        </w:rPr>
        <w:t xml:space="preserve"> The Court of Appeals also held that the Commission would </w:t>
      </w:r>
      <w:r w:rsidR="003112FF">
        <w:rPr>
          <w:rFonts w:eastAsia="Calibri"/>
          <w:kern w:val="2"/>
          <w14:ligatures w14:val="standardContextual"/>
        </w:rPr>
        <w:t xml:space="preserve">have </w:t>
      </w:r>
      <w:r>
        <w:rPr>
          <w:rFonts w:eastAsia="Calibri"/>
          <w:kern w:val="2"/>
          <w14:ligatures w14:val="standardContextual"/>
        </w:rPr>
        <w:t>regulatory authority</w:t>
      </w:r>
      <w:r w:rsidR="003112FF">
        <w:rPr>
          <w:rFonts w:eastAsia="Calibri"/>
          <w:kern w:val="2"/>
          <w14:ligatures w14:val="standardContextual"/>
        </w:rPr>
        <w:t xml:space="preserve"> </w:t>
      </w:r>
      <w:r>
        <w:rPr>
          <w:rFonts w:eastAsia="Calibri"/>
          <w:kern w:val="2"/>
          <w14:ligatures w14:val="standardContextual"/>
        </w:rPr>
        <w:t xml:space="preserve">to bring an enforcement action against a contractor such as GBRA through TWC </w:t>
      </w:r>
      <w:r w:rsidRPr="00D97E37">
        <w:rPr>
          <w:rFonts w:eastAsia="Calibri"/>
          <w:kern w:val="2"/>
          <w14:ligatures w14:val="standardContextual"/>
        </w:rPr>
        <w:t>§</w:t>
      </w:r>
      <w:r>
        <w:rPr>
          <w:rFonts w:eastAsia="Calibri"/>
          <w:kern w:val="2"/>
          <w14:ligatures w14:val="standardContextual"/>
        </w:rPr>
        <w:t xml:space="preserve"> 13.411 in conjunction with TWC </w:t>
      </w:r>
      <w:r w:rsidRPr="00D97E37">
        <w:rPr>
          <w:rFonts w:eastAsia="Calibri"/>
          <w:kern w:val="2"/>
          <w14:ligatures w14:val="standardContextual"/>
        </w:rPr>
        <w:t>§</w:t>
      </w:r>
      <w:r>
        <w:rPr>
          <w:rFonts w:eastAsia="Calibri"/>
          <w:kern w:val="2"/>
          <w14:ligatures w14:val="standardContextual"/>
        </w:rPr>
        <w:t> 13.250.</w:t>
      </w:r>
      <w:r w:rsidR="00E54D66">
        <w:rPr>
          <w:rStyle w:val="FootnoteReference"/>
          <w:rFonts w:eastAsia="Calibri"/>
          <w14:ligatures w14:val="standardContextual"/>
        </w:rPr>
        <w:footnoteReference w:id="23"/>
      </w:r>
      <w:r w:rsidR="003112FF">
        <w:rPr>
          <w:rFonts w:eastAsia="Calibri"/>
          <w:kern w:val="2"/>
          <w14:ligatures w14:val="standardContextual"/>
        </w:rPr>
        <w:t xml:space="preserve"> </w:t>
      </w:r>
    </w:p>
    <w:p w14:paraId="7ADDA752" w14:textId="10C42B75" w:rsidR="0013114C" w:rsidRDefault="00D10DEC" w:rsidP="0013114C">
      <w:pPr>
        <w:pStyle w:val="Paragraph"/>
        <w:rPr>
          <w:rFonts w:eastAsia="Calibri"/>
          <w:kern w:val="2"/>
          <w14:ligatures w14:val="standardContextual"/>
        </w:rPr>
      </w:pPr>
      <w:r>
        <w:rPr>
          <w:rFonts w:eastAsia="Calibri"/>
          <w:kern w:val="2"/>
          <w14:ligatures w14:val="standardContextual"/>
        </w:rPr>
        <w:t xml:space="preserve">Under </w:t>
      </w:r>
      <w:r>
        <w:rPr>
          <w:rFonts w:eastAsia="Calibri"/>
          <w:i/>
          <w:iCs/>
          <w:kern w:val="2"/>
          <w14:ligatures w14:val="standardContextual"/>
        </w:rPr>
        <w:t>Bexar Met</w:t>
      </w:r>
      <w:r w:rsidR="00EE6B14">
        <w:rPr>
          <w:rFonts w:eastAsia="Calibri"/>
          <w:i/>
          <w:iCs/>
          <w:kern w:val="2"/>
          <w14:ligatures w14:val="standardContextual"/>
        </w:rPr>
        <w:t>ro.</w:t>
      </w:r>
      <w:r>
        <w:rPr>
          <w:rFonts w:eastAsia="Calibri"/>
        </w:rPr>
        <w:t>, the Applicants could comply with Ordering Paragraph No. 5</w:t>
      </w:r>
      <w:r w:rsidR="003112FF">
        <w:rPr>
          <w:rFonts w:eastAsia="Calibri"/>
        </w:rPr>
        <w:t>, even</w:t>
      </w:r>
      <w:r>
        <w:rPr>
          <w:rFonts w:eastAsia="Calibri"/>
        </w:rPr>
        <w:t xml:space="preserve"> </w:t>
      </w:r>
      <w:r w:rsidR="00C83077">
        <w:rPr>
          <w:rFonts w:eastAsia="Calibri"/>
        </w:rPr>
        <w:t xml:space="preserve">if </w:t>
      </w:r>
      <w:r>
        <w:rPr>
          <w:rFonts w:eastAsia="Calibri"/>
        </w:rPr>
        <w:t xml:space="preserve">TWU </w:t>
      </w:r>
      <w:r w:rsidR="00C83077">
        <w:rPr>
          <w:rFonts w:eastAsia="Calibri"/>
        </w:rPr>
        <w:t>were to</w:t>
      </w:r>
      <w:r>
        <w:rPr>
          <w:rFonts w:eastAsia="Calibri"/>
        </w:rPr>
        <w:t xml:space="preserve"> provide service to Woodland Oaks’ customers </w:t>
      </w:r>
      <w:r w:rsidR="00C83077">
        <w:rPr>
          <w:rFonts w:eastAsia="Calibri"/>
        </w:rPr>
        <w:t>upon the closing of the transaction</w:t>
      </w:r>
      <w:r>
        <w:rPr>
          <w:rFonts w:eastAsia="Calibri"/>
        </w:rPr>
        <w:t xml:space="preserve">. </w:t>
      </w:r>
      <w:r w:rsidR="00E54D66">
        <w:rPr>
          <w:rFonts w:eastAsia="Calibri"/>
        </w:rPr>
        <w:t>Stated</w:t>
      </w:r>
      <w:r>
        <w:rPr>
          <w:rFonts w:eastAsia="Calibri"/>
        </w:rPr>
        <w:t xml:space="preserve"> similarly, Woodland Oaks</w:t>
      </w:r>
      <w:r w:rsidR="00E54D66">
        <w:rPr>
          <w:rFonts w:eastAsia="Calibri"/>
        </w:rPr>
        <w:t>,</w:t>
      </w:r>
      <w:r>
        <w:rPr>
          <w:rFonts w:eastAsia="Calibri"/>
        </w:rPr>
        <w:t xml:space="preserve"> </w:t>
      </w:r>
      <w:r w:rsidR="00E54D66">
        <w:rPr>
          <w:rFonts w:eastAsia="Calibri"/>
          <w:kern w:val="2"/>
          <w14:ligatures w14:val="standardContextual"/>
        </w:rPr>
        <w:t xml:space="preserve">through TWU’s ownership and operations of the facilities, could </w:t>
      </w:r>
      <w:r w:rsidR="00E54D66">
        <w:rPr>
          <w:rFonts w:eastAsia="Calibri"/>
          <w:kern w:val="2"/>
          <w14:ligatures w14:val="standardContextual"/>
        </w:rPr>
        <w:lastRenderedPageBreak/>
        <w:t>continue to provide continuous and adequate service</w:t>
      </w:r>
      <w:r>
        <w:rPr>
          <w:rFonts w:eastAsia="Calibri"/>
        </w:rPr>
        <w:t xml:space="preserve"> </w:t>
      </w:r>
      <w:r w:rsidR="00E54D66">
        <w:rPr>
          <w:rFonts w:eastAsia="Calibri"/>
        </w:rPr>
        <w:t xml:space="preserve">to </w:t>
      </w:r>
      <w:r>
        <w:rPr>
          <w:rFonts w:eastAsia="Calibri"/>
        </w:rPr>
        <w:t xml:space="preserve">satisfy </w:t>
      </w:r>
      <w:r w:rsidR="00E54D66">
        <w:rPr>
          <w:rFonts w:eastAsia="Calibri"/>
        </w:rPr>
        <w:t>Ordering Paragraph No. 5</w:t>
      </w:r>
      <w:r w:rsidR="003112FF">
        <w:rPr>
          <w:rFonts w:eastAsia="Calibri"/>
        </w:rPr>
        <w:t>, as well as</w:t>
      </w:r>
      <w:r>
        <w:rPr>
          <w:rFonts w:eastAsia="Calibri"/>
        </w:rPr>
        <w:t xml:space="preserve"> TWC </w:t>
      </w:r>
      <w:r w:rsidRPr="00D97E37">
        <w:rPr>
          <w:rFonts w:eastAsia="Calibri"/>
          <w:kern w:val="2"/>
          <w14:ligatures w14:val="standardContextual"/>
        </w:rPr>
        <w:t>§</w:t>
      </w:r>
      <w:r>
        <w:rPr>
          <w:rFonts w:eastAsia="Calibri"/>
          <w:kern w:val="2"/>
          <w14:ligatures w14:val="standardContextual"/>
        </w:rPr>
        <w:t> 13.250(a)</w:t>
      </w:r>
      <w:r w:rsidR="00E54D66">
        <w:rPr>
          <w:rFonts w:eastAsia="Calibri"/>
          <w:kern w:val="2"/>
          <w14:ligatures w14:val="standardContextual"/>
        </w:rPr>
        <w:t xml:space="preserve">. </w:t>
      </w:r>
      <w:r w:rsidR="00C83077">
        <w:rPr>
          <w:rFonts w:eastAsia="Calibri"/>
          <w:kern w:val="2"/>
          <w14:ligatures w14:val="standardContextual"/>
        </w:rPr>
        <w:t>T</w:t>
      </w:r>
      <w:r w:rsidR="00E54D66">
        <w:rPr>
          <w:rFonts w:eastAsia="Calibri"/>
          <w:kern w:val="2"/>
          <w14:ligatures w14:val="standardContextual"/>
        </w:rPr>
        <w:t>he STM transaction</w:t>
      </w:r>
      <w:r w:rsidR="003112FF">
        <w:rPr>
          <w:rFonts w:eastAsia="Calibri"/>
          <w:kern w:val="2"/>
          <w14:ligatures w14:val="standardContextual"/>
        </w:rPr>
        <w:t xml:space="preserve"> agreement </w:t>
      </w:r>
      <w:r w:rsidR="00E54D66">
        <w:rPr>
          <w:rFonts w:eastAsia="Calibri"/>
          <w:kern w:val="2"/>
          <w14:ligatures w14:val="standardContextual"/>
        </w:rPr>
        <w:t xml:space="preserve">between the Applicants would </w:t>
      </w:r>
      <w:r w:rsidR="00C83077">
        <w:rPr>
          <w:rFonts w:eastAsia="Calibri"/>
          <w:kern w:val="2"/>
          <w14:ligatures w14:val="standardContextual"/>
        </w:rPr>
        <w:t xml:space="preserve">then </w:t>
      </w:r>
      <w:r w:rsidR="00E54D66">
        <w:rPr>
          <w:rFonts w:eastAsia="Calibri"/>
          <w:kern w:val="2"/>
          <w14:ligatures w14:val="standardContextual"/>
        </w:rPr>
        <w:t xml:space="preserve">serve as the basis to hold TWU accountable for providing the service that Woodland Oaks is obligated to provide under its CCNs until the Commission </w:t>
      </w:r>
      <w:r w:rsidR="0085261E">
        <w:rPr>
          <w:rFonts w:eastAsia="Calibri"/>
          <w:kern w:val="2"/>
          <w14:ligatures w14:val="standardContextual"/>
        </w:rPr>
        <w:t>transfers</w:t>
      </w:r>
      <w:r w:rsidR="00E54D66">
        <w:rPr>
          <w:rFonts w:eastAsia="Calibri"/>
          <w:kern w:val="2"/>
          <w14:ligatures w14:val="standardContextual"/>
        </w:rPr>
        <w:t xml:space="preserve"> the CCNs in a final order.</w:t>
      </w:r>
    </w:p>
    <w:p w14:paraId="21EB0ED2" w14:textId="26423731" w:rsidR="0013114C" w:rsidRPr="00E54D66" w:rsidRDefault="0013114C" w:rsidP="0013114C">
      <w:pPr>
        <w:pStyle w:val="Paragraph"/>
        <w:rPr>
          <w:rFonts w:eastAsia="Calibri"/>
          <w:kern w:val="2"/>
          <w14:ligatures w14:val="standardContextual"/>
        </w:rPr>
      </w:pPr>
      <w:r>
        <w:rPr>
          <w:rFonts w:eastAsia="Calibri"/>
          <w:kern w:val="2"/>
          <w14:ligatures w14:val="standardContextual"/>
        </w:rPr>
        <w:t xml:space="preserve">Notwithstanding the statutory exceptions and the precedent detailed above, </w:t>
      </w:r>
      <w:r w:rsidR="00F64600">
        <w:rPr>
          <w:rFonts w:eastAsia="Calibri"/>
          <w:kern w:val="2"/>
          <w14:ligatures w14:val="standardContextual"/>
        </w:rPr>
        <w:t>if Ordering Paragraph No. 5 ultimately prohibits TWU from</w:t>
      </w:r>
      <w:r w:rsidR="00F64600">
        <w:rPr>
          <w:iCs/>
        </w:rPr>
        <w:t xml:space="preserve"> operating the systems and assets to provide service once the transaction is closed, then Staff recommends that Ordering Paragraph No. 1 be amended to delete the words “as proposed</w:t>
      </w:r>
      <w:r w:rsidR="00C83077">
        <w:rPr>
          <w:iCs/>
        </w:rPr>
        <w:t>.</w:t>
      </w:r>
      <w:r w:rsidR="00F64600">
        <w:rPr>
          <w:iCs/>
        </w:rPr>
        <w:t xml:space="preserve">” </w:t>
      </w:r>
      <w:r w:rsidR="00C83077">
        <w:rPr>
          <w:iCs/>
        </w:rPr>
        <w:t>That way,</w:t>
      </w:r>
      <w:r w:rsidR="00F64600">
        <w:rPr>
          <w:iCs/>
        </w:rPr>
        <w:t xml:space="preserve"> the Applicants </w:t>
      </w:r>
      <w:r w:rsidR="00C83077">
        <w:rPr>
          <w:iCs/>
        </w:rPr>
        <w:t xml:space="preserve">could </w:t>
      </w:r>
      <w:r w:rsidR="00F64600">
        <w:rPr>
          <w:iCs/>
        </w:rPr>
        <w:t>potentially complete the transaction</w:t>
      </w:r>
      <w:r w:rsidR="00C83077">
        <w:rPr>
          <w:iCs/>
        </w:rPr>
        <w:t>,</w:t>
      </w:r>
      <w:r w:rsidR="00F64600">
        <w:rPr>
          <w:iCs/>
        </w:rPr>
        <w:t xml:space="preserve"> as modified</w:t>
      </w:r>
      <w:r w:rsidR="00C83077">
        <w:rPr>
          <w:iCs/>
        </w:rPr>
        <w:t>,</w:t>
      </w:r>
      <w:r w:rsidR="00F64600">
        <w:rPr>
          <w:iCs/>
        </w:rPr>
        <w:t xml:space="preserve"> </w:t>
      </w:r>
      <w:r w:rsidR="00C83077">
        <w:rPr>
          <w:iCs/>
        </w:rPr>
        <w:t>and</w:t>
      </w:r>
      <w:r w:rsidR="00F64600">
        <w:rPr>
          <w:iCs/>
        </w:rPr>
        <w:t xml:space="preserve"> Woodland Oaks could legally</w:t>
      </w:r>
      <w:r w:rsidR="0085261E">
        <w:rPr>
          <w:iCs/>
        </w:rPr>
        <w:t xml:space="preserve"> </w:t>
      </w:r>
      <w:r w:rsidR="00F64600">
        <w:rPr>
          <w:iCs/>
        </w:rPr>
        <w:t xml:space="preserve">continue to provide service until the </w:t>
      </w:r>
      <w:r w:rsidR="00C83077">
        <w:rPr>
          <w:iCs/>
        </w:rPr>
        <w:t xml:space="preserve">issuance of a </w:t>
      </w:r>
      <w:r w:rsidR="00F64600">
        <w:rPr>
          <w:iCs/>
        </w:rPr>
        <w:t xml:space="preserve">final order </w:t>
      </w:r>
      <w:r w:rsidR="00395B42">
        <w:rPr>
          <w:iCs/>
        </w:rPr>
        <w:t>in compliance</w:t>
      </w:r>
      <w:r w:rsidR="00F64600">
        <w:rPr>
          <w:iCs/>
        </w:rPr>
        <w:t xml:space="preserve"> with Ordering Paragraph No. 5. </w:t>
      </w:r>
    </w:p>
    <w:p w14:paraId="7D1F7094" w14:textId="77777777" w:rsidR="005103F2" w:rsidRPr="0014498A" w:rsidRDefault="005103F2" w:rsidP="00791469">
      <w:pPr>
        <w:pStyle w:val="Paragraph"/>
      </w:pPr>
    </w:p>
    <w:p w14:paraId="0A0955D2" w14:textId="0B280D25" w:rsidR="00685FA0" w:rsidRPr="003A2D21" w:rsidRDefault="00685FA0" w:rsidP="00153960">
      <w:pPr>
        <w:pStyle w:val="Heading1"/>
        <w:tabs>
          <w:tab w:val="clear" w:pos="1440"/>
        </w:tabs>
        <w:spacing w:before="0" w:after="0" w:line="360" w:lineRule="auto"/>
        <w:ind w:left="0" w:right="0"/>
      </w:pPr>
      <w:r w:rsidRPr="003A2D21">
        <w:t>CONCLUSION</w:t>
      </w:r>
    </w:p>
    <w:p w14:paraId="232E020D" w14:textId="283ED3E3" w:rsidR="00685FA0" w:rsidRDefault="006E5BC2" w:rsidP="00153960">
      <w:pPr>
        <w:pStyle w:val="Paragraph"/>
      </w:pPr>
      <w:r>
        <w:t xml:space="preserve">Staff </w:t>
      </w:r>
      <w:r w:rsidR="00C1515F">
        <w:t xml:space="preserve">agrees with the Applicants’ arguments outlined in their Request for Clarification and </w:t>
      </w:r>
      <w:r w:rsidR="003C6651">
        <w:t>submits its statement of position for t</w:t>
      </w:r>
      <w:r w:rsidR="000952FD">
        <w:t>he ALJ’s</w:t>
      </w:r>
      <w:r w:rsidR="003525C0">
        <w:t xml:space="preserve"> </w:t>
      </w:r>
      <w:r w:rsidR="003C6651">
        <w:t>consideration</w:t>
      </w:r>
      <w:r w:rsidR="00C1515F">
        <w:t>.</w:t>
      </w:r>
    </w:p>
    <w:p w14:paraId="37117F5F" w14:textId="7727C68B" w:rsidR="00685FA0" w:rsidRDefault="00685FA0" w:rsidP="00685FA0">
      <w:pPr>
        <w:pStyle w:val="Paragraph"/>
        <w:keepNext/>
        <w:ind w:firstLine="0"/>
      </w:pPr>
      <w:r>
        <w:lastRenderedPageBreak/>
        <w:t xml:space="preserve">Dated: </w:t>
      </w:r>
      <w:r>
        <w:fldChar w:fldCharType="begin"/>
      </w:r>
      <w:r>
        <w:instrText xml:space="preserve"> DATE \@ "MMMM d, yyyy" </w:instrText>
      </w:r>
      <w:r>
        <w:fldChar w:fldCharType="separate"/>
      </w:r>
      <w:r w:rsidR="00D74565">
        <w:rPr>
          <w:noProof/>
        </w:rPr>
        <w:t>October 13, 2023</w:t>
      </w:r>
      <w:r>
        <w:fldChar w:fldCharType="end"/>
      </w:r>
    </w:p>
    <w:p w14:paraId="35502067" w14:textId="77777777" w:rsidR="00685FA0" w:rsidRDefault="00685FA0" w:rsidP="00685FA0">
      <w:pPr>
        <w:pStyle w:val="Paragraph"/>
        <w:keepNext/>
        <w:ind w:firstLine="0"/>
      </w:pPr>
    </w:p>
    <w:p w14:paraId="5DF7CE6E" w14:textId="77777777" w:rsidR="00685FA0" w:rsidRPr="00613E1F" w:rsidRDefault="00685FA0" w:rsidP="00685FA0">
      <w:pPr>
        <w:keepNext/>
        <w:spacing w:after="0" w:line="480" w:lineRule="auto"/>
        <w:ind w:left="4320" w:firstLine="0"/>
        <w:rPr>
          <w:szCs w:val="20"/>
        </w:rPr>
      </w:pPr>
      <w:r w:rsidRPr="00613E1F">
        <w:rPr>
          <w:szCs w:val="20"/>
        </w:rPr>
        <w:t>Respectfully submitted,</w:t>
      </w:r>
    </w:p>
    <w:p w14:paraId="06B748F3" w14:textId="77777777" w:rsidR="00685FA0" w:rsidRPr="00613E1F" w:rsidRDefault="00685FA0" w:rsidP="00685FA0">
      <w:pPr>
        <w:keepNext/>
        <w:spacing w:after="0" w:line="240" w:lineRule="auto"/>
        <w:ind w:left="4320" w:firstLine="0"/>
        <w:contextualSpacing/>
        <w:jc w:val="left"/>
        <w:rPr>
          <w:b/>
        </w:rPr>
      </w:pPr>
      <w:r w:rsidRPr="00613E1F">
        <w:rPr>
          <w:b/>
        </w:rPr>
        <w:t>PUBLIC UTILITY COMMISSION OF TEXAS LEGAL DIVISION</w:t>
      </w:r>
    </w:p>
    <w:p w14:paraId="407656D6" w14:textId="77777777" w:rsidR="00685FA0" w:rsidRPr="00613E1F" w:rsidRDefault="00685FA0" w:rsidP="00685FA0">
      <w:pPr>
        <w:keepNext/>
        <w:spacing w:after="0" w:line="240" w:lineRule="auto"/>
        <w:ind w:left="4320" w:firstLine="0"/>
        <w:rPr>
          <w:szCs w:val="20"/>
        </w:rPr>
      </w:pPr>
    </w:p>
    <w:p w14:paraId="16EE314D" w14:textId="35E99F45" w:rsidR="00685FA0" w:rsidRPr="00613E1F" w:rsidRDefault="006E5BC2" w:rsidP="00685FA0">
      <w:pPr>
        <w:keepNext/>
        <w:spacing w:after="0" w:line="240" w:lineRule="auto"/>
        <w:ind w:left="4320" w:firstLine="0"/>
        <w:contextualSpacing/>
      </w:pPr>
      <w:r>
        <w:t>Marisa Lopez Wagley</w:t>
      </w:r>
    </w:p>
    <w:p w14:paraId="4AE61D7B" w14:textId="77777777" w:rsidR="00685FA0" w:rsidRPr="00613E1F" w:rsidRDefault="00685FA0" w:rsidP="00685FA0">
      <w:pPr>
        <w:keepNext/>
        <w:spacing w:after="0" w:line="240" w:lineRule="auto"/>
        <w:ind w:left="4320" w:firstLine="0"/>
        <w:contextualSpacing/>
      </w:pPr>
      <w:r w:rsidRPr="00613E1F">
        <w:t>Division Director</w:t>
      </w:r>
    </w:p>
    <w:p w14:paraId="7905CE99" w14:textId="77777777" w:rsidR="00685FA0" w:rsidRPr="00613E1F" w:rsidRDefault="00685FA0" w:rsidP="00685FA0">
      <w:pPr>
        <w:keepNext/>
        <w:spacing w:after="0" w:line="240" w:lineRule="auto"/>
        <w:ind w:left="4320" w:firstLine="0"/>
        <w:contextualSpacing/>
      </w:pPr>
    </w:p>
    <w:p w14:paraId="7C697705" w14:textId="409F9954" w:rsidR="003A2D21" w:rsidRPr="00CA3A20" w:rsidRDefault="006E5BC2" w:rsidP="003A2D21">
      <w:pPr>
        <w:keepNext/>
        <w:spacing w:after="0" w:line="240" w:lineRule="auto"/>
        <w:ind w:left="4320" w:firstLine="0"/>
        <w:rPr>
          <w:szCs w:val="20"/>
        </w:rPr>
      </w:pPr>
      <w:r>
        <w:rPr>
          <w:szCs w:val="20"/>
        </w:rPr>
        <w:t>Ian Groetsch</w:t>
      </w:r>
    </w:p>
    <w:p w14:paraId="75080881" w14:textId="77777777" w:rsidR="003A2D21" w:rsidRPr="00CA3A20" w:rsidRDefault="003A2D21" w:rsidP="003A2D21">
      <w:pPr>
        <w:keepNext/>
        <w:spacing w:after="0" w:line="240" w:lineRule="auto"/>
        <w:ind w:left="4320" w:firstLine="0"/>
        <w:rPr>
          <w:szCs w:val="20"/>
        </w:rPr>
      </w:pPr>
      <w:r w:rsidRPr="00CA3A20">
        <w:rPr>
          <w:szCs w:val="20"/>
        </w:rPr>
        <w:t>Managing Attorney</w:t>
      </w:r>
    </w:p>
    <w:p w14:paraId="08ABA911" w14:textId="77777777" w:rsidR="003A2D21" w:rsidRPr="00BF5A40" w:rsidRDefault="003A2D21" w:rsidP="003A2D21">
      <w:pPr>
        <w:keepNext/>
        <w:overflowPunct w:val="0"/>
        <w:autoSpaceDE w:val="0"/>
        <w:autoSpaceDN w:val="0"/>
        <w:adjustRightInd w:val="0"/>
        <w:spacing w:after="0" w:line="240" w:lineRule="auto"/>
        <w:ind w:left="4320" w:firstLine="0"/>
        <w:jc w:val="left"/>
        <w:textAlignment w:val="baseline"/>
        <w:rPr>
          <w:highlight w:val="yellow"/>
        </w:rPr>
      </w:pPr>
    </w:p>
    <w:p w14:paraId="3C81B8F5" w14:textId="5F4556BA" w:rsidR="003A2D21" w:rsidRPr="00CC2093" w:rsidRDefault="003A2D21" w:rsidP="003A2D21">
      <w:pPr>
        <w:keepNext/>
        <w:overflowPunct w:val="0"/>
        <w:autoSpaceDE w:val="0"/>
        <w:autoSpaceDN w:val="0"/>
        <w:adjustRightInd w:val="0"/>
        <w:spacing w:after="0" w:line="240" w:lineRule="auto"/>
        <w:ind w:left="4320" w:firstLine="0"/>
        <w:jc w:val="left"/>
        <w:textAlignment w:val="baseline"/>
        <w:rPr>
          <w:u w:val="single"/>
        </w:rPr>
      </w:pPr>
      <w:bookmarkStart w:id="3" w:name="_Hlk86733587"/>
      <w:bookmarkStart w:id="4" w:name="_Hlk111026463"/>
      <w:r>
        <w:rPr>
          <w:u w:val="single"/>
        </w:rPr>
        <w:t xml:space="preserve">  /s/ Scott Miles</w:t>
      </w:r>
      <w:r>
        <w:rPr>
          <w:u w:val="single"/>
        </w:rPr>
        <w:tab/>
      </w:r>
      <w:r>
        <w:rPr>
          <w:u w:val="single"/>
        </w:rPr>
        <w:tab/>
      </w:r>
    </w:p>
    <w:p w14:paraId="57A1694B" w14:textId="77777777" w:rsidR="003A2D21" w:rsidRDefault="003A2D21" w:rsidP="003A2D21">
      <w:pPr>
        <w:keepNext/>
        <w:overflowPunct w:val="0"/>
        <w:autoSpaceDE w:val="0"/>
        <w:autoSpaceDN w:val="0"/>
        <w:adjustRightInd w:val="0"/>
        <w:spacing w:after="0" w:line="240" w:lineRule="auto"/>
        <w:ind w:left="4320" w:firstLine="0"/>
        <w:jc w:val="left"/>
        <w:textAlignment w:val="baseline"/>
      </w:pPr>
      <w:r>
        <w:t>Scott Miles</w:t>
      </w:r>
    </w:p>
    <w:p w14:paraId="6651375D"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t>State Bar No. 24098103</w:t>
      </w:r>
    </w:p>
    <w:p w14:paraId="54C5D1D0"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Margaux Fox</w:t>
      </w:r>
    </w:p>
    <w:bookmarkEnd w:id="3"/>
    <w:p w14:paraId="440EE909" w14:textId="77777777" w:rsidR="003A2D21" w:rsidRDefault="003A2D21" w:rsidP="003A2D21">
      <w:pPr>
        <w:keepNext/>
        <w:overflowPunct w:val="0"/>
        <w:autoSpaceDE w:val="0"/>
        <w:autoSpaceDN w:val="0"/>
        <w:adjustRightInd w:val="0"/>
        <w:spacing w:after="0" w:line="240" w:lineRule="auto"/>
        <w:ind w:left="4320" w:firstLine="0"/>
        <w:jc w:val="left"/>
        <w:textAlignment w:val="baseline"/>
      </w:pPr>
      <w:r w:rsidRPr="00CA3A20">
        <w:t>State Bar No. 24120829</w:t>
      </w:r>
    </w:p>
    <w:p w14:paraId="0B0EDB42"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1701 N. Congress Avenue</w:t>
      </w:r>
    </w:p>
    <w:p w14:paraId="53FE3669"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P.O. Box 13326</w:t>
      </w:r>
    </w:p>
    <w:p w14:paraId="5A7A4644"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Austin, Texas 78711-3326</w:t>
      </w:r>
    </w:p>
    <w:p w14:paraId="1FE67CAA"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(512) 936-7</w:t>
      </w:r>
      <w:r>
        <w:t>228</w:t>
      </w:r>
    </w:p>
    <w:p w14:paraId="6849570E"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(512) 936-7268 (facsimile)</w:t>
      </w:r>
    </w:p>
    <w:p w14:paraId="609D90FF"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t>Scott.Miles</w:t>
      </w:r>
      <w:r w:rsidRPr="00CA3A20">
        <w:t>@puc.texas.gov</w:t>
      </w:r>
    </w:p>
    <w:bookmarkEnd w:id="4"/>
    <w:p w14:paraId="4A47FFC1" w14:textId="77777777" w:rsidR="0059201D" w:rsidRPr="0051021C" w:rsidRDefault="0059201D" w:rsidP="0051021C">
      <w:pPr>
        <w:pStyle w:val="Paragraph"/>
      </w:pPr>
    </w:p>
    <w:p w14:paraId="472B7145" w14:textId="23F95363"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D74565" w:rsidRPr="00EF7381">
        <w:t>Docket</w:t>
      </w:r>
      <w:r w:rsidR="00D74565" w:rsidRPr="00D92C94">
        <w:t xml:space="preserve"> No</w:t>
      </w:r>
      <w:r w:rsidR="00D74565" w:rsidRPr="008647EB">
        <w:t>.</w:t>
      </w:r>
      <w:r w:rsidR="00D74565">
        <w:t xml:space="preserve"> 54546</w:t>
      </w:r>
      <w:r w:rsidR="00D74565" w:rsidRPr="00D74565">
        <w:rPr>
          <w:rStyle w:val="PlaceholderText"/>
        </w:rPr>
        <w:t xml:space="preserve"> </w:t>
      </w:r>
      <w:r w:rsidRPr="007E3A22">
        <w:rPr>
          <w:bCs/>
        </w:rPr>
        <w:fldChar w:fldCharType="end"/>
      </w:r>
    </w:p>
    <w:p w14:paraId="68A53BF5" w14:textId="77777777" w:rsidR="00DA790F" w:rsidRPr="008647EB" w:rsidRDefault="00DA790F" w:rsidP="00092070">
      <w:pPr>
        <w:pStyle w:val="CaseCaption"/>
      </w:pPr>
      <w:r w:rsidRPr="008647EB">
        <w:t>CERTIFICATE OF SERVICE</w:t>
      </w:r>
    </w:p>
    <w:p w14:paraId="25FA0251" w14:textId="0910974D" w:rsidR="00DA790F" w:rsidRDefault="00DA790F" w:rsidP="00553B64">
      <w:pPr>
        <w:pStyle w:val="Paragraph"/>
        <w:keepNext/>
        <w:keepLines/>
      </w:pPr>
      <w:r w:rsidRPr="00893EAC">
        <w:t>I certify that unless otherwise ordered by the presiding officer, notice of the filing of this document w</w:t>
      </w:r>
      <w:r w:rsidR="00D71702">
        <w:t>ill be</w:t>
      </w:r>
      <w:r w:rsidRPr="00893EAC">
        <w:t xml:space="preserve"> provided to all parties of record via electronic mail on</w:t>
      </w:r>
      <w:r w:rsidR="00AC2322">
        <w:t xml:space="preserve"> </w:t>
      </w:r>
      <w:r w:rsidR="007E0834">
        <w:fldChar w:fldCharType="begin"/>
      </w:r>
      <w:r w:rsidR="007E0834">
        <w:instrText xml:space="preserve"> DATE \@ "MMMM d, yyyy" </w:instrText>
      </w:r>
      <w:r w:rsidR="007E0834">
        <w:fldChar w:fldCharType="separate"/>
      </w:r>
      <w:r w:rsidR="00D74565">
        <w:rPr>
          <w:noProof/>
        </w:rPr>
        <w:t>October 13, 2023</w:t>
      </w:r>
      <w:r w:rsidR="007E0834">
        <w:fldChar w:fldCharType="end"/>
      </w:r>
      <w:r w:rsidR="008E1F6D">
        <w:t xml:space="preserve"> </w:t>
      </w:r>
      <w:r w:rsidRPr="00893EAC">
        <w:t xml:space="preserve">in accordance with the </w:t>
      </w:r>
      <w:r>
        <w:t xml:space="preserve">Second </w:t>
      </w:r>
      <w:r w:rsidRPr="00893EAC">
        <w:t>Order Suspending Rules, issued in Project No. 50664.</w:t>
      </w:r>
      <w:r w:rsidR="00C4658E">
        <w:t xml:space="preserve"> </w:t>
      </w:r>
    </w:p>
    <w:p w14:paraId="0337AEE0" w14:textId="77777777" w:rsidR="00685FA0" w:rsidRPr="008647EB" w:rsidRDefault="00685FA0" w:rsidP="00553B64">
      <w:pPr>
        <w:pStyle w:val="Paragraph"/>
        <w:keepNext/>
        <w:keepLines/>
      </w:pPr>
    </w:p>
    <w:p w14:paraId="08088932" w14:textId="16F793C5" w:rsidR="003A2D21" w:rsidRPr="00CC2093" w:rsidRDefault="003A2D21" w:rsidP="003A2D21">
      <w:pPr>
        <w:keepNext/>
        <w:overflowPunct w:val="0"/>
        <w:autoSpaceDE w:val="0"/>
        <w:autoSpaceDN w:val="0"/>
        <w:adjustRightInd w:val="0"/>
        <w:spacing w:after="0" w:line="240" w:lineRule="auto"/>
        <w:ind w:left="4320" w:firstLine="0"/>
        <w:jc w:val="left"/>
        <w:textAlignment w:val="baseline"/>
        <w:rPr>
          <w:u w:val="single"/>
        </w:rPr>
      </w:pPr>
      <w:r>
        <w:rPr>
          <w:u w:val="single"/>
        </w:rPr>
        <w:t xml:space="preserve">  /s/ Scott Miles</w:t>
      </w:r>
      <w:r>
        <w:rPr>
          <w:u w:val="single"/>
        </w:rPr>
        <w:tab/>
      </w:r>
      <w:r>
        <w:rPr>
          <w:u w:val="single"/>
        </w:rPr>
        <w:tab/>
      </w:r>
    </w:p>
    <w:p w14:paraId="4A83F5AA" w14:textId="77777777" w:rsidR="003A2D21" w:rsidRDefault="003A2D21" w:rsidP="003A2D21">
      <w:pPr>
        <w:keepNext/>
        <w:overflowPunct w:val="0"/>
        <w:autoSpaceDE w:val="0"/>
        <w:autoSpaceDN w:val="0"/>
        <w:adjustRightInd w:val="0"/>
        <w:spacing w:after="0" w:line="240" w:lineRule="auto"/>
        <w:ind w:left="4320" w:firstLine="0"/>
        <w:jc w:val="left"/>
        <w:textAlignment w:val="baseline"/>
      </w:pPr>
      <w:r>
        <w:t>Scott Miles</w:t>
      </w:r>
    </w:p>
    <w:p w14:paraId="3919F036" w14:textId="77777777" w:rsidR="00DA790F" w:rsidRPr="00893EAC" w:rsidRDefault="00DA790F" w:rsidP="00685FA0">
      <w:pPr>
        <w:keepNext/>
        <w:tabs>
          <w:tab w:val="right" w:pos="7920"/>
        </w:tabs>
        <w:spacing w:after="0" w:line="240" w:lineRule="auto"/>
        <w:ind w:left="4320" w:firstLine="0"/>
        <w:rPr>
          <w:szCs w:val="20"/>
          <w:u w:val="single"/>
        </w:rPr>
      </w:pPr>
    </w:p>
    <w:sectPr w:rsidR="00DA790F" w:rsidRPr="00893EAC"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8C8D5" w14:textId="77777777" w:rsidR="002D0DF4" w:rsidRDefault="002D0DF4">
      <w:pPr>
        <w:spacing w:after="0" w:line="240" w:lineRule="auto"/>
      </w:pPr>
      <w:r>
        <w:separator/>
      </w:r>
    </w:p>
  </w:endnote>
  <w:endnote w:type="continuationSeparator" w:id="0">
    <w:p w14:paraId="7B851023" w14:textId="77777777" w:rsidR="002D0DF4" w:rsidRDefault="002D0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0428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B55FA76" w14:textId="77777777" w:rsidR="00071BFA" w:rsidRDefault="00071BFA" w:rsidP="008016FB">
    <w:pPr>
      <w:pStyle w:val="Footer"/>
    </w:pPr>
  </w:p>
  <w:p w14:paraId="7C762F3F" w14:textId="77777777" w:rsidR="00071BFA" w:rsidRDefault="00071BFA" w:rsidP="008016FB"/>
  <w:p w14:paraId="5CFF6E6F"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455DF" w14:textId="77777777" w:rsidR="002D0DF4" w:rsidRDefault="002D0DF4">
      <w:pPr>
        <w:spacing w:after="0" w:line="240" w:lineRule="auto"/>
      </w:pPr>
      <w:r>
        <w:separator/>
      </w:r>
    </w:p>
  </w:footnote>
  <w:footnote w:type="continuationSeparator" w:id="0">
    <w:p w14:paraId="0AC777C2" w14:textId="77777777" w:rsidR="002D0DF4" w:rsidRDefault="002D0DF4">
      <w:pPr>
        <w:spacing w:after="0" w:line="240" w:lineRule="auto"/>
      </w:pPr>
      <w:r>
        <w:continuationSeparator/>
      </w:r>
    </w:p>
  </w:footnote>
  <w:footnote w:type="continuationNotice" w:id="1">
    <w:p w14:paraId="2CE2DB88" w14:textId="77777777" w:rsidR="002D0DF4" w:rsidRDefault="002D0DF4">
      <w:pPr>
        <w:spacing w:after="0" w:line="240" w:lineRule="auto"/>
      </w:pPr>
    </w:p>
  </w:footnote>
  <w:footnote w:id="2">
    <w:p w14:paraId="62DBFF8F" w14:textId="4BDE556E" w:rsidR="006738BA" w:rsidRDefault="006738BA" w:rsidP="005103F2">
      <w:pPr>
        <w:pStyle w:val="FootnoteText"/>
      </w:pPr>
      <w:r>
        <w:rPr>
          <w:rStyle w:val="FootnoteReference"/>
        </w:rPr>
        <w:footnoteRef/>
      </w:r>
      <w:r>
        <w:t xml:space="preserve">  Order No. 12 </w:t>
      </w:r>
      <w:r w:rsidR="0085261E">
        <w:t xml:space="preserve">- </w:t>
      </w:r>
      <w:r>
        <w:t xml:space="preserve">Approving Sale and Transfer to Proceed at Ordering Paragraph No. 5 (Jul. 19, 2023). </w:t>
      </w:r>
    </w:p>
  </w:footnote>
  <w:footnote w:id="3">
    <w:p w14:paraId="39049088" w14:textId="0A6C13FA" w:rsidR="002E0EA6" w:rsidRDefault="002E0EA6" w:rsidP="005103F2">
      <w:pPr>
        <w:pStyle w:val="FootnoteText"/>
      </w:pPr>
      <w:r>
        <w:rPr>
          <w:rStyle w:val="FootnoteReference"/>
        </w:rPr>
        <w:footnoteRef/>
      </w:r>
      <w:r>
        <w:t xml:space="preserve">  Texas Water Utilities, L.P. and Woodland Oaks Utility LP’s Request for Clarification of Order No. 12 at</w:t>
      </w:r>
      <w:r w:rsidR="008F38F4">
        <w:t xml:space="preserve"> </w:t>
      </w:r>
      <w:r>
        <w:t xml:space="preserve">2 (Aug. 21, 2023) (Request for Clarification).   </w:t>
      </w:r>
    </w:p>
  </w:footnote>
  <w:footnote w:id="4">
    <w:p w14:paraId="0395D081" w14:textId="6F470767" w:rsidR="00C86A64" w:rsidRDefault="00C86A64" w:rsidP="005103F2">
      <w:pPr>
        <w:pStyle w:val="FootnoteText"/>
      </w:pPr>
      <w:r>
        <w:rPr>
          <w:rStyle w:val="FootnoteReference"/>
        </w:rPr>
        <w:footnoteRef/>
      </w:r>
      <w:r>
        <w:t xml:space="preserve">  </w:t>
      </w:r>
      <w:r w:rsidRPr="00C86A64">
        <w:rPr>
          <w:i/>
          <w:iCs/>
        </w:rPr>
        <w:t xml:space="preserve">Application of Aqua Texas, Inc. and Forest Grove, Inc. </w:t>
      </w:r>
      <w:r>
        <w:rPr>
          <w:i/>
          <w:iCs/>
        </w:rPr>
        <w:t xml:space="preserve">dba </w:t>
      </w:r>
      <w:r w:rsidRPr="00C86A64">
        <w:rPr>
          <w:i/>
          <w:iCs/>
        </w:rPr>
        <w:t>Southern Oaks Water Supply for Sale, Transfer, or Merger of Facilities and Certificate Rights in Navarro and Freestone Counties and For Dual Certification with Winkler Water Supply Corporation</w:t>
      </w:r>
      <w:r>
        <w:t>, Docket No. 54341, Commission McAdams Memo</w:t>
      </w:r>
      <w:r w:rsidR="00F66FFF">
        <w:t xml:space="preserve"> (Jun. 28, 2023).</w:t>
      </w:r>
      <w:r>
        <w:t xml:space="preserve"> </w:t>
      </w:r>
      <w:r w:rsidRPr="00C86A64">
        <w:rPr>
          <w:i/>
          <w:iCs/>
        </w:rPr>
        <w:t xml:space="preserve"> </w:t>
      </w:r>
      <w:r>
        <w:t xml:space="preserve">   </w:t>
      </w:r>
    </w:p>
  </w:footnote>
  <w:footnote w:id="5">
    <w:p w14:paraId="607A6953" w14:textId="037BDCE2" w:rsidR="003E1D59" w:rsidRDefault="003E1D59" w:rsidP="005103F2">
      <w:pPr>
        <w:pStyle w:val="FootnoteText"/>
      </w:pPr>
      <w:r>
        <w:rPr>
          <w:rStyle w:val="FootnoteReference"/>
        </w:rPr>
        <w:footnoteRef/>
      </w:r>
      <w:r>
        <w:t xml:space="preserve">  </w:t>
      </w:r>
      <w:r>
        <w:rPr>
          <w:i/>
          <w:iCs/>
        </w:rPr>
        <w:t>Id</w:t>
      </w:r>
      <w:r>
        <w:t>.</w:t>
      </w:r>
      <w:r w:rsidR="009640ED">
        <w:t xml:space="preserve"> (citing to TWC </w:t>
      </w:r>
      <w:r w:rsidR="009640ED" w:rsidRPr="00482168">
        <w:rPr>
          <w:rFonts w:eastAsia="Calibri"/>
          <w:kern w:val="2"/>
          <w14:ligatures w14:val="standardContextual"/>
        </w:rPr>
        <w:t>§</w:t>
      </w:r>
      <w:r w:rsidR="009640ED">
        <w:rPr>
          <w:rFonts w:eastAsia="Calibri"/>
          <w:kern w:val="2"/>
          <w14:ligatures w14:val="standardContextual"/>
        </w:rPr>
        <w:t xml:space="preserve"> 13.242(a)).</w:t>
      </w:r>
      <w:r>
        <w:t xml:space="preserve"> </w:t>
      </w:r>
    </w:p>
  </w:footnote>
  <w:footnote w:id="6">
    <w:p w14:paraId="658258AD" w14:textId="6A4053BB" w:rsidR="00561EC7" w:rsidRDefault="00561EC7" w:rsidP="005103F2">
      <w:pPr>
        <w:pStyle w:val="FootnoteText"/>
      </w:pPr>
      <w:r>
        <w:rPr>
          <w:rStyle w:val="FootnoteReference"/>
        </w:rPr>
        <w:footnoteRef/>
      </w:r>
      <w:r>
        <w:t xml:space="preserve">  Request for Clarification of Order No. 12 at 4.  </w:t>
      </w:r>
    </w:p>
  </w:footnote>
  <w:footnote w:id="7">
    <w:p w14:paraId="0E5E4D6C" w14:textId="70DE9D0F" w:rsidR="00214DCE" w:rsidRDefault="00214DCE" w:rsidP="005103F2">
      <w:pPr>
        <w:pStyle w:val="FootnoteText"/>
      </w:pPr>
      <w:r>
        <w:rPr>
          <w:rStyle w:val="FootnoteReference"/>
        </w:rPr>
        <w:footnoteRef/>
      </w:r>
      <w:r>
        <w:t xml:space="preserve">  Application, Confidential Attachment 2 - Asset Purchase Agreement at 9 (Jan. 4, 2023).  </w:t>
      </w:r>
    </w:p>
  </w:footnote>
  <w:footnote w:id="8">
    <w:p w14:paraId="197FB77C" w14:textId="7CBC4EC5" w:rsidR="00D64189" w:rsidRDefault="00D64189" w:rsidP="005103F2">
      <w:pPr>
        <w:pStyle w:val="FootnoteText"/>
      </w:pPr>
      <w:r>
        <w:rPr>
          <w:rStyle w:val="FootnoteReference"/>
        </w:rPr>
        <w:footnoteRef/>
      </w:r>
      <w:r>
        <w:t xml:space="preserve">  </w:t>
      </w:r>
      <w:r w:rsidR="0085261E">
        <w:t xml:space="preserve">54546 </w:t>
      </w:r>
      <w:r w:rsidRPr="00D64189">
        <w:t>CSWR-Texas Amicus Brief in Support of Texas Water Utilities, L.P. and Woodland Oaks Utility LP's Request for Clarification of Order No. 12</w:t>
      </w:r>
      <w:r>
        <w:t xml:space="preserve"> at 2 (Sep. 28, 2023)</w:t>
      </w:r>
      <w:r w:rsidR="00CB42B7">
        <w:t xml:space="preserve"> (citing to TWC § 13.250(a) and (b)).</w:t>
      </w:r>
      <w:r>
        <w:t xml:space="preserve">  </w:t>
      </w:r>
    </w:p>
  </w:footnote>
  <w:footnote w:id="9">
    <w:p w14:paraId="7694FD5F" w14:textId="63A52441" w:rsidR="00AD7216" w:rsidRDefault="00AD7216" w:rsidP="005103F2">
      <w:pPr>
        <w:pStyle w:val="FootnoteText"/>
      </w:pPr>
      <w:r>
        <w:rPr>
          <w:rStyle w:val="FootnoteReference"/>
        </w:rPr>
        <w:footnoteRef/>
      </w:r>
      <w:r>
        <w:t xml:space="preserve">  </w:t>
      </w:r>
      <w:r>
        <w:rPr>
          <w:i/>
          <w:iCs/>
        </w:rPr>
        <w:t>Id</w:t>
      </w:r>
      <w:r>
        <w:t xml:space="preserve">. </w:t>
      </w:r>
    </w:p>
  </w:footnote>
  <w:footnote w:id="10">
    <w:p w14:paraId="4531A922" w14:textId="1BE34D9A" w:rsidR="00F9286A" w:rsidRDefault="00F9286A" w:rsidP="005103F2">
      <w:pPr>
        <w:pStyle w:val="FootnoteText"/>
      </w:pPr>
      <w:r>
        <w:rPr>
          <w:rStyle w:val="FootnoteReference"/>
        </w:rPr>
        <w:footnoteRef/>
      </w:r>
      <w:r>
        <w:t xml:space="preserve">  </w:t>
      </w:r>
      <w:r w:rsidRPr="00B571E2">
        <w:rPr>
          <w:rFonts w:eastAsia="Calibri"/>
          <w:kern w:val="2"/>
          <w14:ligatures w14:val="standardContextual"/>
        </w:rPr>
        <w:t>TWC § 13.250</w:t>
      </w:r>
      <w:r>
        <w:rPr>
          <w:rFonts w:eastAsia="Calibri"/>
          <w:kern w:val="2"/>
          <w14:ligatures w14:val="standardContextual"/>
        </w:rPr>
        <w:t>(a).</w:t>
      </w:r>
      <w:r>
        <w:t xml:space="preserve">   </w:t>
      </w:r>
    </w:p>
  </w:footnote>
  <w:footnote w:id="11">
    <w:p w14:paraId="723B3B45" w14:textId="080F6705" w:rsidR="00F9286A" w:rsidRDefault="00F9286A" w:rsidP="005103F2">
      <w:pPr>
        <w:pStyle w:val="FootnoteText"/>
      </w:pPr>
      <w:r>
        <w:rPr>
          <w:rStyle w:val="FootnoteReference"/>
        </w:rPr>
        <w:footnoteRef/>
      </w:r>
      <w:r>
        <w:t xml:space="preserve">  </w:t>
      </w:r>
      <w:r w:rsidRPr="00B571E2">
        <w:rPr>
          <w:rFonts w:eastAsia="Calibri"/>
          <w:kern w:val="2"/>
          <w14:ligatures w14:val="standardContextual"/>
        </w:rPr>
        <w:t>TWC § 13.250</w:t>
      </w:r>
      <w:r>
        <w:rPr>
          <w:rFonts w:eastAsia="Calibri"/>
          <w:kern w:val="2"/>
          <w14:ligatures w14:val="standardContextual"/>
        </w:rPr>
        <w:t>(b).</w:t>
      </w:r>
      <w:r>
        <w:t xml:space="preserve"> </w:t>
      </w:r>
    </w:p>
  </w:footnote>
  <w:footnote w:id="12">
    <w:p w14:paraId="7863C99B" w14:textId="767E7D0B" w:rsidR="00F9286A" w:rsidRDefault="00F9286A" w:rsidP="005103F2">
      <w:pPr>
        <w:pStyle w:val="FootnoteText"/>
      </w:pPr>
      <w:r>
        <w:rPr>
          <w:rStyle w:val="FootnoteReference"/>
        </w:rPr>
        <w:footnoteRef/>
      </w:r>
      <w:r w:rsidR="004F437A">
        <w:t xml:space="preserve">  </w:t>
      </w:r>
      <w:r w:rsidR="004F437A">
        <w:rPr>
          <w:i/>
          <w:iCs/>
        </w:rPr>
        <w:t>See</w:t>
      </w:r>
      <w:r w:rsidR="004F437A">
        <w:t xml:space="preserve"> Bill Analysis, H.B. 827, Committee on Natural Resources, available at </w:t>
      </w:r>
      <w:hyperlink r:id="rId1" w:anchor="page=41" w:history="1">
        <w:r w:rsidR="004F437A" w:rsidRPr="004F437A">
          <w:rPr>
            <w:rStyle w:val="Hyperlink"/>
          </w:rPr>
          <w:t>https://lrl.texas.gov/LASDOCS/72R/HB827/HB827_72R.pdf#page=41</w:t>
        </w:r>
      </w:hyperlink>
      <w:r w:rsidR="004F437A">
        <w:t xml:space="preserve"> (last accessed Oct. 13, 2023). </w:t>
      </w:r>
    </w:p>
  </w:footnote>
  <w:footnote w:id="13">
    <w:p w14:paraId="460B0A33" w14:textId="55D46E22" w:rsidR="00F9286A" w:rsidRDefault="00F9286A" w:rsidP="005103F2">
      <w:pPr>
        <w:pStyle w:val="FootnoteText"/>
      </w:pPr>
      <w:r>
        <w:rPr>
          <w:rStyle w:val="FootnoteReference"/>
        </w:rPr>
        <w:footnoteRef/>
      </w:r>
      <w:r>
        <w:t xml:space="preserve"> </w:t>
      </w:r>
      <w:r w:rsidR="0085261E">
        <w:t xml:space="preserve"> </w:t>
      </w:r>
      <w:r w:rsidRPr="00B571E2">
        <w:rPr>
          <w:rFonts w:eastAsia="Calibri"/>
          <w:kern w:val="2"/>
          <w14:ligatures w14:val="standardContextual"/>
        </w:rPr>
        <w:t>TWC § 13.250</w:t>
      </w:r>
      <w:r>
        <w:rPr>
          <w:rFonts w:eastAsia="Calibri"/>
          <w:kern w:val="2"/>
          <w14:ligatures w14:val="standardContextual"/>
        </w:rPr>
        <w:t>(d).</w:t>
      </w:r>
    </w:p>
  </w:footnote>
  <w:footnote w:id="14">
    <w:p w14:paraId="0E732445" w14:textId="122669B7" w:rsidR="005103F2" w:rsidRDefault="005103F2" w:rsidP="005103F2">
      <w:pPr>
        <w:pStyle w:val="FootnoteText"/>
      </w:pPr>
      <w:r>
        <w:rPr>
          <w:rStyle w:val="FootnoteReference"/>
        </w:rPr>
        <w:footnoteRef/>
      </w:r>
      <w:r>
        <w:t xml:space="preserve">  </w:t>
      </w:r>
      <w:r w:rsidRPr="00D97E37">
        <w:rPr>
          <w:rFonts w:eastAsia="Calibri"/>
          <w:kern w:val="2"/>
          <w14:ligatures w14:val="standardContextual"/>
        </w:rPr>
        <w:t>TWC § 13.254(a)(3</w:t>
      </w:r>
      <w:r>
        <w:rPr>
          <w:rFonts w:eastAsia="Calibri"/>
          <w:kern w:val="2"/>
          <w14:ligatures w14:val="standardContextual"/>
        </w:rPr>
        <w:t>).</w:t>
      </w:r>
      <w:r>
        <w:t xml:space="preserve"> </w:t>
      </w:r>
    </w:p>
  </w:footnote>
  <w:footnote w:id="15">
    <w:p w14:paraId="348304C1" w14:textId="0286CB8B" w:rsidR="005103F2" w:rsidRDefault="005103F2" w:rsidP="005103F2">
      <w:pPr>
        <w:pStyle w:val="FootnoteText"/>
      </w:pPr>
      <w:r>
        <w:rPr>
          <w:rStyle w:val="FootnoteReference"/>
        </w:rPr>
        <w:footnoteRef/>
      </w:r>
      <w:r>
        <w:t xml:space="preserve">  </w:t>
      </w:r>
      <w:r w:rsidRPr="005103F2">
        <w:rPr>
          <w:i/>
          <w:iCs/>
        </w:rPr>
        <w:t xml:space="preserve">Application </w:t>
      </w:r>
      <w:r>
        <w:rPr>
          <w:i/>
          <w:iCs/>
        </w:rPr>
        <w:t>o</w:t>
      </w:r>
      <w:r w:rsidRPr="005103F2">
        <w:rPr>
          <w:i/>
          <w:iCs/>
        </w:rPr>
        <w:t xml:space="preserve">f Somervell County Water District </w:t>
      </w:r>
      <w:r>
        <w:rPr>
          <w:i/>
          <w:iCs/>
        </w:rPr>
        <w:t>t</w:t>
      </w:r>
      <w:r w:rsidRPr="005103F2">
        <w:rPr>
          <w:i/>
          <w:iCs/>
        </w:rPr>
        <w:t xml:space="preserve">o Cancel Sunset Park Water Corporation's Certificate </w:t>
      </w:r>
      <w:r>
        <w:rPr>
          <w:i/>
          <w:iCs/>
        </w:rPr>
        <w:t>o</w:t>
      </w:r>
      <w:r w:rsidRPr="005103F2">
        <w:rPr>
          <w:i/>
          <w:iCs/>
        </w:rPr>
        <w:t xml:space="preserve">f Convenience </w:t>
      </w:r>
      <w:r>
        <w:rPr>
          <w:i/>
          <w:iCs/>
        </w:rPr>
        <w:t>a</w:t>
      </w:r>
      <w:r w:rsidRPr="005103F2">
        <w:rPr>
          <w:i/>
          <w:iCs/>
        </w:rPr>
        <w:t xml:space="preserve">nd Necessity </w:t>
      </w:r>
      <w:r>
        <w:rPr>
          <w:i/>
          <w:iCs/>
        </w:rPr>
        <w:t>i</w:t>
      </w:r>
      <w:r w:rsidRPr="005103F2">
        <w:rPr>
          <w:i/>
          <w:iCs/>
        </w:rPr>
        <w:t>n Somervell County</w:t>
      </w:r>
      <w:r>
        <w:t xml:space="preserve">, Docket No. 46301, Order (Mar. 30, 2017).   </w:t>
      </w:r>
    </w:p>
  </w:footnote>
  <w:footnote w:id="16">
    <w:p w14:paraId="372474F8" w14:textId="33CBCDE6" w:rsidR="005103F2" w:rsidRDefault="005103F2">
      <w:pPr>
        <w:pStyle w:val="FootnoteText"/>
      </w:pPr>
      <w:r>
        <w:rPr>
          <w:rStyle w:val="FootnoteReference"/>
        </w:rPr>
        <w:footnoteRef/>
      </w:r>
      <w:r>
        <w:t xml:space="preserve">  </w:t>
      </w:r>
      <w:r>
        <w:rPr>
          <w:i/>
          <w:iCs/>
        </w:rPr>
        <w:t>Id</w:t>
      </w:r>
      <w:r>
        <w:t xml:space="preserve">.  </w:t>
      </w:r>
    </w:p>
  </w:footnote>
  <w:footnote w:id="17">
    <w:p w14:paraId="419D8EAE" w14:textId="6F86A3CF" w:rsidR="005103F2" w:rsidRDefault="005103F2">
      <w:pPr>
        <w:pStyle w:val="FootnoteText"/>
      </w:pPr>
      <w:r>
        <w:rPr>
          <w:rStyle w:val="FootnoteReference"/>
        </w:rPr>
        <w:footnoteRef/>
      </w:r>
      <w:r>
        <w:t xml:space="preserve">  </w:t>
      </w:r>
      <w:r>
        <w:rPr>
          <w:i/>
          <w:iCs/>
        </w:rPr>
        <w:t>Id</w:t>
      </w:r>
      <w:r>
        <w:t xml:space="preserve">. </w:t>
      </w:r>
    </w:p>
  </w:footnote>
  <w:footnote w:id="18">
    <w:p w14:paraId="5226DE20" w14:textId="47904F1C" w:rsidR="00A442D8" w:rsidRDefault="00A442D8">
      <w:pPr>
        <w:pStyle w:val="FootnoteText"/>
      </w:pPr>
      <w:r>
        <w:rPr>
          <w:rStyle w:val="FootnoteReference"/>
        </w:rPr>
        <w:footnoteRef/>
      </w:r>
      <w:r>
        <w:t xml:space="preserve">  </w:t>
      </w:r>
      <w:r w:rsidRPr="00A442D8">
        <w:rPr>
          <w:i/>
          <w:iCs/>
        </w:rPr>
        <w:t xml:space="preserve">Bexar </w:t>
      </w:r>
      <w:r w:rsidR="00EE6B14" w:rsidRPr="00A442D8">
        <w:rPr>
          <w:i/>
          <w:iCs/>
        </w:rPr>
        <w:t>Metro</w:t>
      </w:r>
      <w:r w:rsidR="00EE6B14">
        <w:rPr>
          <w:i/>
          <w:iCs/>
        </w:rPr>
        <w:t>.</w:t>
      </w:r>
      <w:r w:rsidR="00EE6B14" w:rsidRPr="00A442D8">
        <w:rPr>
          <w:i/>
          <w:iCs/>
        </w:rPr>
        <w:t xml:space="preserve"> </w:t>
      </w:r>
      <w:r w:rsidRPr="00A442D8">
        <w:rPr>
          <w:i/>
          <w:iCs/>
        </w:rPr>
        <w:t xml:space="preserve">Water Dist. v. Texas Com’n on </w:t>
      </w:r>
      <w:r w:rsidR="00EE6B14" w:rsidRPr="00A442D8">
        <w:rPr>
          <w:i/>
          <w:iCs/>
        </w:rPr>
        <w:t>Env</w:t>
      </w:r>
      <w:r w:rsidR="00EE6B14">
        <w:rPr>
          <w:i/>
          <w:iCs/>
        </w:rPr>
        <w:t>’t</w:t>
      </w:r>
      <w:r w:rsidR="00EE6B14" w:rsidRPr="00A442D8">
        <w:rPr>
          <w:i/>
          <w:iCs/>
        </w:rPr>
        <w:t xml:space="preserve">l </w:t>
      </w:r>
      <w:r w:rsidRPr="00A442D8">
        <w:rPr>
          <w:i/>
          <w:iCs/>
        </w:rPr>
        <w:t>Quality</w:t>
      </w:r>
      <w:r w:rsidRPr="00A442D8">
        <w:t>, 185 S.W.3d 546 (Tex. App.—Austin, 2006)</w:t>
      </w:r>
      <w:r>
        <w:t xml:space="preserve">.   </w:t>
      </w:r>
    </w:p>
  </w:footnote>
  <w:footnote w:id="19">
    <w:p w14:paraId="4552DC54" w14:textId="39365E1A" w:rsidR="00D32CA6" w:rsidRDefault="00D32CA6">
      <w:pPr>
        <w:pStyle w:val="FootnoteText"/>
      </w:pPr>
      <w:r>
        <w:rPr>
          <w:rStyle w:val="FootnoteReference"/>
        </w:rPr>
        <w:footnoteRef/>
      </w:r>
      <w:r>
        <w:t xml:space="preserve">  </w:t>
      </w:r>
      <w:r>
        <w:rPr>
          <w:i/>
          <w:iCs/>
        </w:rPr>
        <w:t>Id</w:t>
      </w:r>
      <w:r>
        <w:t xml:space="preserve">.  </w:t>
      </w:r>
    </w:p>
  </w:footnote>
  <w:footnote w:id="20">
    <w:p w14:paraId="57D9EB63" w14:textId="7E3EE892" w:rsidR="009622F0" w:rsidRDefault="009622F0">
      <w:pPr>
        <w:pStyle w:val="FootnoteText"/>
      </w:pPr>
      <w:r>
        <w:rPr>
          <w:rStyle w:val="FootnoteReference"/>
        </w:rPr>
        <w:footnoteRef/>
      </w:r>
      <w:r>
        <w:t xml:space="preserve">  </w:t>
      </w:r>
      <w:r>
        <w:rPr>
          <w:i/>
          <w:iCs/>
        </w:rPr>
        <w:t>Id</w:t>
      </w:r>
      <w:r>
        <w:t xml:space="preserve">. </w:t>
      </w:r>
    </w:p>
  </w:footnote>
  <w:footnote w:id="21">
    <w:p w14:paraId="1A4DD485" w14:textId="07A5E7C8" w:rsidR="009622F0" w:rsidRDefault="009622F0">
      <w:pPr>
        <w:pStyle w:val="FootnoteText"/>
      </w:pPr>
      <w:r>
        <w:rPr>
          <w:rStyle w:val="FootnoteReference"/>
        </w:rPr>
        <w:footnoteRef/>
      </w:r>
      <w:r>
        <w:t xml:space="preserve">  </w:t>
      </w:r>
      <w:r>
        <w:rPr>
          <w:i/>
          <w:iCs/>
        </w:rPr>
        <w:t>Id</w:t>
      </w:r>
      <w:r>
        <w:t xml:space="preserve">. </w:t>
      </w:r>
    </w:p>
  </w:footnote>
  <w:footnote w:id="22">
    <w:p w14:paraId="72E5967F" w14:textId="339FCBF3" w:rsidR="009622F0" w:rsidRDefault="009622F0">
      <w:pPr>
        <w:pStyle w:val="FootnoteText"/>
      </w:pPr>
      <w:r>
        <w:rPr>
          <w:rStyle w:val="FootnoteReference"/>
        </w:rPr>
        <w:footnoteRef/>
      </w:r>
      <w:r>
        <w:t xml:space="preserve">  </w:t>
      </w:r>
      <w:r>
        <w:rPr>
          <w:i/>
          <w:iCs/>
        </w:rPr>
        <w:t>Id</w:t>
      </w:r>
      <w:r>
        <w:t xml:space="preserve">. </w:t>
      </w:r>
    </w:p>
  </w:footnote>
  <w:footnote w:id="23">
    <w:p w14:paraId="5667AE92" w14:textId="218BF019" w:rsidR="00E54D66" w:rsidRDefault="00E54D66">
      <w:pPr>
        <w:pStyle w:val="FootnoteText"/>
      </w:pPr>
      <w:r>
        <w:rPr>
          <w:rStyle w:val="FootnoteReference"/>
        </w:rPr>
        <w:footnoteRef/>
      </w:r>
      <w:r>
        <w:t xml:space="preserve">  </w:t>
      </w:r>
      <w:r>
        <w:rPr>
          <w:i/>
          <w:iCs/>
        </w:rPr>
        <w:t>Id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7D224"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8B81EA2"/>
    <w:multiLevelType w:val="hybridMultilevel"/>
    <w:tmpl w:val="495A5DF8"/>
    <w:lvl w:ilvl="0" w:tplc="532C180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852EE0"/>
    <w:multiLevelType w:val="hybridMultilevel"/>
    <w:tmpl w:val="23780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586497858">
    <w:abstractNumId w:val="10"/>
  </w:num>
  <w:num w:numId="2" w16cid:durableId="329529524">
    <w:abstractNumId w:val="26"/>
  </w:num>
  <w:num w:numId="3" w16cid:durableId="1863396388">
    <w:abstractNumId w:val="15"/>
  </w:num>
  <w:num w:numId="4" w16cid:durableId="703866644">
    <w:abstractNumId w:val="12"/>
  </w:num>
  <w:num w:numId="5" w16cid:durableId="1383679107">
    <w:abstractNumId w:val="25"/>
  </w:num>
  <w:num w:numId="6" w16cid:durableId="1194347808">
    <w:abstractNumId w:val="24"/>
  </w:num>
  <w:num w:numId="7" w16cid:durableId="2142452144">
    <w:abstractNumId w:val="18"/>
  </w:num>
  <w:num w:numId="8" w16cid:durableId="2129422024">
    <w:abstractNumId w:val="19"/>
  </w:num>
  <w:num w:numId="9" w16cid:durableId="1176264604">
    <w:abstractNumId w:val="22"/>
  </w:num>
  <w:num w:numId="10" w16cid:durableId="664820880">
    <w:abstractNumId w:val="23"/>
  </w:num>
  <w:num w:numId="11" w16cid:durableId="708184149">
    <w:abstractNumId w:val="13"/>
  </w:num>
  <w:num w:numId="12" w16cid:durableId="1543129574">
    <w:abstractNumId w:val="21"/>
  </w:num>
  <w:num w:numId="13" w16cid:durableId="1399934085">
    <w:abstractNumId w:val="9"/>
  </w:num>
  <w:num w:numId="14" w16cid:durableId="1415085613">
    <w:abstractNumId w:val="7"/>
  </w:num>
  <w:num w:numId="15" w16cid:durableId="1378118303">
    <w:abstractNumId w:val="6"/>
  </w:num>
  <w:num w:numId="16" w16cid:durableId="2134130053">
    <w:abstractNumId w:val="5"/>
  </w:num>
  <w:num w:numId="17" w16cid:durableId="827213156">
    <w:abstractNumId w:val="4"/>
  </w:num>
  <w:num w:numId="18" w16cid:durableId="476997466">
    <w:abstractNumId w:val="8"/>
  </w:num>
  <w:num w:numId="19" w16cid:durableId="272906341">
    <w:abstractNumId w:val="3"/>
  </w:num>
  <w:num w:numId="20" w16cid:durableId="1130902736">
    <w:abstractNumId w:val="2"/>
  </w:num>
  <w:num w:numId="21" w16cid:durableId="685669986">
    <w:abstractNumId w:val="1"/>
  </w:num>
  <w:num w:numId="22" w16cid:durableId="2091341678">
    <w:abstractNumId w:val="0"/>
  </w:num>
  <w:num w:numId="23" w16cid:durableId="1581139261">
    <w:abstractNumId w:val="11"/>
  </w:num>
  <w:num w:numId="24" w16cid:durableId="476458121">
    <w:abstractNumId w:val="14"/>
  </w:num>
  <w:num w:numId="25" w16cid:durableId="235628447">
    <w:abstractNumId w:val="20"/>
  </w:num>
  <w:num w:numId="26" w16cid:durableId="311376934">
    <w:abstractNumId w:val="16"/>
  </w:num>
  <w:num w:numId="27" w16cid:durableId="14461196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D21"/>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47D49"/>
    <w:rsid w:val="00050EC3"/>
    <w:rsid w:val="00054407"/>
    <w:rsid w:val="000577AB"/>
    <w:rsid w:val="00061E7A"/>
    <w:rsid w:val="000621BB"/>
    <w:rsid w:val="00063014"/>
    <w:rsid w:val="00064A66"/>
    <w:rsid w:val="00071BFA"/>
    <w:rsid w:val="000722C0"/>
    <w:rsid w:val="00072FE5"/>
    <w:rsid w:val="000731FB"/>
    <w:rsid w:val="00074832"/>
    <w:rsid w:val="000767DB"/>
    <w:rsid w:val="0008265B"/>
    <w:rsid w:val="000857EC"/>
    <w:rsid w:val="00086CE5"/>
    <w:rsid w:val="00092039"/>
    <w:rsid w:val="00092070"/>
    <w:rsid w:val="00092B02"/>
    <w:rsid w:val="0009361B"/>
    <w:rsid w:val="0009426E"/>
    <w:rsid w:val="00094D6D"/>
    <w:rsid w:val="000952FD"/>
    <w:rsid w:val="00097407"/>
    <w:rsid w:val="000A15D8"/>
    <w:rsid w:val="000A1743"/>
    <w:rsid w:val="000A3A6E"/>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8A3"/>
    <w:rsid w:val="000F1B5D"/>
    <w:rsid w:val="000F1F40"/>
    <w:rsid w:val="000F2CCD"/>
    <w:rsid w:val="000F6BEB"/>
    <w:rsid w:val="000F7F9C"/>
    <w:rsid w:val="00101DD7"/>
    <w:rsid w:val="00101E9A"/>
    <w:rsid w:val="0010359F"/>
    <w:rsid w:val="00104BD4"/>
    <w:rsid w:val="001067EE"/>
    <w:rsid w:val="00106A78"/>
    <w:rsid w:val="00110861"/>
    <w:rsid w:val="001130EB"/>
    <w:rsid w:val="001171A2"/>
    <w:rsid w:val="00120A5D"/>
    <w:rsid w:val="00121F46"/>
    <w:rsid w:val="00122A95"/>
    <w:rsid w:val="00122C66"/>
    <w:rsid w:val="001239C8"/>
    <w:rsid w:val="001248E8"/>
    <w:rsid w:val="00125007"/>
    <w:rsid w:val="00125C6D"/>
    <w:rsid w:val="00127224"/>
    <w:rsid w:val="0013114C"/>
    <w:rsid w:val="00132937"/>
    <w:rsid w:val="00132C88"/>
    <w:rsid w:val="0013403B"/>
    <w:rsid w:val="001347B7"/>
    <w:rsid w:val="001370E3"/>
    <w:rsid w:val="00140FCF"/>
    <w:rsid w:val="00141227"/>
    <w:rsid w:val="00143BAC"/>
    <w:rsid w:val="00143DBB"/>
    <w:rsid w:val="0014498A"/>
    <w:rsid w:val="001449F7"/>
    <w:rsid w:val="00145A64"/>
    <w:rsid w:val="00147053"/>
    <w:rsid w:val="001478CB"/>
    <w:rsid w:val="001504CC"/>
    <w:rsid w:val="00151409"/>
    <w:rsid w:val="0015225A"/>
    <w:rsid w:val="00152E43"/>
    <w:rsid w:val="00153960"/>
    <w:rsid w:val="00154618"/>
    <w:rsid w:val="00154A4C"/>
    <w:rsid w:val="001569A7"/>
    <w:rsid w:val="001574A9"/>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2C83"/>
    <w:rsid w:val="00191CC3"/>
    <w:rsid w:val="00194DC4"/>
    <w:rsid w:val="00195608"/>
    <w:rsid w:val="0019726B"/>
    <w:rsid w:val="00197531"/>
    <w:rsid w:val="001A2D16"/>
    <w:rsid w:val="001A44FD"/>
    <w:rsid w:val="001A4E3E"/>
    <w:rsid w:val="001A5D0B"/>
    <w:rsid w:val="001A7BD4"/>
    <w:rsid w:val="001A7DBE"/>
    <w:rsid w:val="001B0D9A"/>
    <w:rsid w:val="001B175B"/>
    <w:rsid w:val="001B1A66"/>
    <w:rsid w:val="001B4D69"/>
    <w:rsid w:val="001B52FD"/>
    <w:rsid w:val="001C0816"/>
    <w:rsid w:val="001C0EBF"/>
    <w:rsid w:val="001C28A6"/>
    <w:rsid w:val="001C3000"/>
    <w:rsid w:val="001C38BF"/>
    <w:rsid w:val="001C3BDA"/>
    <w:rsid w:val="001C6A3E"/>
    <w:rsid w:val="001D0EFA"/>
    <w:rsid w:val="001D1AD8"/>
    <w:rsid w:val="001D334E"/>
    <w:rsid w:val="001D5D7E"/>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1CEC"/>
    <w:rsid w:val="00212ED1"/>
    <w:rsid w:val="00214C34"/>
    <w:rsid w:val="00214DCE"/>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134D"/>
    <w:rsid w:val="00242505"/>
    <w:rsid w:val="0024377E"/>
    <w:rsid w:val="00243C87"/>
    <w:rsid w:val="002461C4"/>
    <w:rsid w:val="00247F89"/>
    <w:rsid w:val="00253FE6"/>
    <w:rsid w:val="00254488"/>
    <w:rsid w:val="00256D5A"/>
    <w:rsid w:val="0025700B"/>
    <w:rsid w:val="00261AFE"/>
    <w:rsid w:val="0026407F"/>
    <w:rsid w:val="002650E5"/>
    <w:rsid w:val="00265CA3"/>
    <w:rsid w:val="00270C7B"/>
    <w:rsid w:val="00271524"/>
    <w:rsid w:val="002720F6"/>
    <w:rsid w:val="00272208"/>
    <w:rsid w:val="00273FF4"/>
    <w:rsid w:val="002821AF"/>
    <w:rsid w:val="00282897"/>
    <w:rsid w:val="0028290A"/>
    <w:rsid w:val="00283F39"/>
    <w:rsid w:val="00285A49"/>
    <w:rsid w:val="00285CF8"/>
    <w:rsid w:val="00286157"/>
    <w:rsid w:val="00286D26"/>
    <w:rsid w:val="002871A5"/>
    <w:rsid w:val="0029005F"/>
    <w:rsid w:val="00293B85"/>
    <w:rsid w:val="0029550E"/>
    <w:rsid w:val="00296BA8"/>
    <w:rsid w:val="0029706D"/>
    <w:rsid w:val="002975FA"/>
    <w:rsid w:val="002A094E"/>
    <w:rsid w:val="002A1898"/>
    <w:rsid w:val="002A2CC6"/>
    <w:rsid w:val="002A4485"/>
    <w:rsid w:val="002A4C69"/>
    <w:rsid w:val="002B1424"/>
    <w:rsid w:val="002B1D45"/>
    <w:rsid w:val="002B52DF"/>
    <w:rsid w:val="002C213B"/>
    <w:rsid w:val="002C22C5"/>
    <w:rsid w:val="002C263C"/>
    <w:rsid w:val="002C4C90"/>
    <w:rsid w:val="002C4C99"/>
    <w:rsid w:val="002C5D86"/>
    <w:rsid w:val="002D0DF4"/>
    <w:rsid w:val="002D149A"/>
    <w:rsid w:val="002D15E2"/>
    <w:rsid w:val="002D170C"/>
    <w:rsid w:val="002D2BDB"/>
    <w:rsid w:val="002D3A76"/>
    <w:rsid w:val="002D3B22"/>
    <w:rsid w:val="002D481E"/>
    <w:rsid w:val="002D543A"/>
    <w:rsid w:val="002E0EA6"/>
    <w:rsid w:val="002E45FE"/>
    <w:rsid w:val="002E749D"/>
    <w:rsid w:val="002F08B6"/>
    <w:rsid w:val="002F479D"/>
    <w:rsid w:val="002F4BCC"/>
    <w:rsid w:val="002F6C6D"/>
    <w:rsid w:val="003021A2"/>
    <w:rsid w:val="003033F1"/>
    <w:rsid w:val="00303A45"/>
    <w:rsid w:val="00305298"/>
    <w:rsid w:val="003112FF"/>
    <w:rsid w:val="00312843"/>
    <w:rsid w:val="00315D1F"/>
    <w:rsid w:val="0031793D"/>
    <w:rsid w:val="00320534"/>
    <w:rsid w:val="00322DE2"/>
    <w:rsid w:val="00323DE8"/>
    <w:rsid w:val="00324F0F"/>
    <w:rsid w:val="003313F9"/>
    <w:rsid w:val="0033193F"/>
    <w:rsid w:val="00332458"/>
    <w:rsid w:val="003346A4"/>
    <w:rsid w:val="00334DB1"/>
    <w:rsid w:val="00336ACF"/>
    <w:rsid w:val="00340539"/>
    <w:rsid w:val="0034088B"/>
    <w:rsid w:val="00341854"/>
    <w:rsid w:val="003455B0"/>
    <w:rsid w:val="003525C0"/>
    <w:rsid w:val="00353AD2"/>
    <w:rsid w:val="00356686"/>
    <w:rsid w:val="00357C92"/>
    <w:rsid w:val="003602F6"/>
    <w:rsid w:val="00360A0C"/>
    <w:rsid w:val="00363395"/>
    <w:rsid w:val="00366276"/>
    <w:rsid w:val="0037376B"/>
    <w:rsid w:val="00374091"/>
    <w:rsid w:val="003744AE"/>
    <w:rsid w:val="003744C0"/>
    <w:rsid w:val="00375F64"/>
    <w:rsid w:val="00384670"/>
    <w:rsid w:val="00384BB8"/>
    <w:rsid w:val="0038566A"/>
    <w:rsid w:val="0038660B"/>
    <w:rsid w:val="0038776A"/>
    <w:rsid w:val="00387AB5"/>
    <w:rsid w:val="00391CAF"/>
    <w:rsid w:val="0039363F"/>
    <w:rsid w:val="0039591B"/>
    <w:rsid w:val="00395B42"/>
    <w:rsid w:val="0039605E"/>
    <w:rsid w:val="00397341"/>
    <w:rsid w:val="003A1AF9"/>
    <w:rsid w:val="003A1B53"/>
    <w:rsid w:val="003A2B88"/>
    <w:rsid w:val="003A2D21"/>
    <w:rsid w:val="003A338C"/>
    <w:rsid w:val="003A53E1"/>
    <w:rsid w:val="003A74EA"/>
    <w:rsid w:val="003B3790"/>
    <w:rsid w:val="003B6280"/>
    <w:rsid w:val="003B6A56"/>
    <w:rsid w:val="003B7656"/>
    <w:rsid w:val="003C0C4B"/>
    <w:rsid w:val="003C0E04"/>
    <w:rsid w:val="003C6393"/>
    <w:rsid w:val="003C6651"/>
    <w:rsid w:val="003D14F2"/>
    <w:rsid w:val="003D152A"/>
    <w:rsid w:val="003D1D6C"/>
    <w:rsid w:val="003E1385"/>
    <w:rsid w:val="003E180A"/>
    <w:rsid w:val="003E1AA5"/>
    <w:rsid w:val="003E1D59"/>
    <w:rsid w:val="003E3252"/>
    <w:rsid w:val="003E36D7"/>
    <w:rsid w:val="003E7A59"/>
    <w:rsid w:val="003F0A17"/>
    <w:rsid w:val="003F154D"/>
    <w:rsid w:val="003F2F01"/>
    <w:rsid w:val="003F36BF"/>
    <w:rsid w:val="003F5FEC"/>
    <w:rsid w:val="003F6C56"/>
    <w:rsid w:val="003F72A0"/>
    <w:rsid w:val="003F7C27"/>
    <w:rsid w:val="0040173D"/>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56E7C"/>
    <w:rsid w:val="00460E7D"/>
    <w:rsid w:val="00461AE8"/>
    <w:rsid w:val="00462A7E"/>
    <w:rsid w:val="00463E0A"/>
    <w:rsid w:val="00464536"/>
    <w:rsid w:val="00464A13"/>
    <w:rsid w:val="004668FF"/>
    <w:rsid w:val="00466FD6"/>
    <w:rsid w:val="00472755"/>
    <w:rsid w:val="00473325"/>
    <w:rsid w:val="00474D5A"/>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30F"/>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437A"/>
    <w:rsid w:val="004F7611"/>
    <w:rsid w:val="005024E1"/>
    <w:rsid w:val="00506DA4"/>
    <w:rsid w:val="005073C0"/>
    <w:rsid w:val="0051021C"/>
    <w:rsid w:val="005103F2"/>
    <w:rsid w:val="0051080A"/>
    <w:rsid w:val="0051397A"/>
    <w:rsid w:val="00513C7B"/>
    <w:rsid w:val="00515B33"/>
    <w:rsid w:val="00517C97"/>
    <w:rsid w:val="00520070"/>
    <w:rsid w:val="005217D6"/>
    <w:rsid w:val="005236C8"/>
    <w:rsid w:val="00524580"/>
    <w:rsid w:val="0053114F"/>
    <w:rsid w:val="00535615"/>
    <w:rsid w:val="00535DF6"/>
    <w:rsid w:val="0054012D"/>
    <w:rsid w:val="00541537"/>
    <w:rsid w:val="00545504"/>
    <w:rsid w:val="00550CEB"/>
    <w:rsid w:val="005528A6"/>
    <w:rsid w:val="00552AE1"/>
    <w:rsid w:val="00553B64"/>
    <w:rsid w:val="00553BD2"/>
    <w:rsid w:val="005544CE"/>
    <w:rsid w:val="00555E35"/>
    <w:rsid w:val="00556099"/>
    <w:rsid w:val="0056151D"/>
    <w:rsid w:val="005617AE"/>
    <w:rsid w:val="00561EC7"/>
    <w:rsid w:val="00564268"/>
    <w:rsid w:val="00565710"/>
    <w:rsid w:val="00566A31"/>
    <w:rsid w:val="005726A5"/>
    <w:rsid w:val="00572A1C"/>
    <w:rsid w:val="005740E2"/>
    <w:rsid w:val="005756FE"/>
    <w:rsid w:val="00575CC0"/>
    <w:rsid w:val="0057620A"/>
    <w:rsid w:val="00576B77"/>
    <w:rsid w:val="00580473"/>
    <w:rsid w:val="005830FD"/>
    <w:rsid w:val="00585A58"/>
    <w:rsid w:val="00586701"/>
    <w:rsid w:val="00587716"/>
    <w:rsid w:val="0059197A"/>
    <w:rsid w:val="0059201D"/>
    <w:rsid w:val="00592914"/>
    <w:rsid w:val="00592F04"/>
    <w:rsid w:val="00595FDD"/>
    <w:rsid w:val="0059639F"/>
    <w:rsid w:val="00596A01"/>
    <w:rsid w:val="00596DB2"/>
    <w:rsid w:val="005A27BA"/>
    <w:rsid w:val="005A31F1"/>
    <w:rsid w:val="005A3A98"/>
    <w:rsid w:val="005A446F"/>
    <w:rsid w:val="005A48CB"/>
    <w:rsid w:val="005A6190"/>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3CB5"/>
    <w:rsid w:val="005D4161"/>
    <w:rsid w:val="005D506B"/>
    <w:rsid w:val="005D644A"/>
    <w:rsid w:val="005E0AD2"/>
    <w:rsid w:val="005E169D"/>
    <w:rsid w:val="005E19D8"/>
    <w:rsid w:val="005E2C48"/>
    <w:rsid w:val="005E77DC"/>
    <w:rsid w:val="005E7BE9"/>
    <w:rsid w:val="005F09CB"/>
    <w:rsid w:val="005F1497"/>
    <w:rsid w:val="005F17D6"/>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661"/>
    <w:rsid w:val="0066794B"/>
    <w:rsid w:val="00670549"/>
    <w:rsid w:val="00672B9B"/>
    <w:rsid w:val="006738BA"/>
    <w:rsid w:val="00673F48"/>
    <w:rsid w:val="00676CA9"/>
    <w:rsid w:val="006820A0"/>
    <w:rsid w:val="0068357B"/>
    <w:rsid w:val="00684873"/>
    <w:rsid w:val="00685FA0"/>
    <w:rsid w:val="00686CEE"/>
    <w:rsid w:val="0068771C"/>
    <w:rsid w:val="00687DD6"/>
    <w:rsid w:val="00687E6D"/>
    <w:rsid w:val="00690DFA"/>
    <w:rsid w:val="00691324"/>
    <w:rsid w:val="00692AD3"/>
    <w:rsid w:val="006937DA"/>
    <w:rsid w:val="006954A8"/>
    <w:rsid w:val="006964B5"/>
    <w:rsid w:val="006A07CC"/>
    <w:rsid w:val="006A105D"/>
    <w:rsid w:val="006A6EC4"/>
    <w:rsid w:val="006B2768"/>
    <w:rsid w:val="006B4B5C"/>
    <w:rsid w:val="006C2E8A"/>
    <w:rsid w:val="006C323B"/>
    <w:rsid w:val="006C376D"/>
    <w:rsid w:val="006C7292"/>
    <w:rsid w:val="006D13DF"/>
    <w:rsid w:val="006D38EA"/>
    <w:rsid w:val="006D3B00"/>
    <w:rsid w:val="006D7DB2"/>
    <w:rsid w:val="006E011E"/>
    <w:rsid w:val="006E07D6"/>
    <w:rsid w:val="006E3070"/>
    <w:rsid w:val="006E5BC2"/>
    <w:rsid w:val="006E6D50"/>
    <w:rsid w:val="006E72CB"/>
    <w:rsid w:val="006F3A4D"/>
    <w:rsid w:val="006F3BE8"/>
    <w:rsid w:val="006F4E41"/>
    <w:rsid w:val="00701F55"/>
    <w:rsid w:val="00702788"/>
    <w:rsid w:val="007028F4"/>
    <w:rsid w:val="007035E0"/>
    <w:rsid w:val="00705419"/>
    <w:rsid w:val="00706EA0"/>
    <w:rsid w:val="00712EB2"/>
    <w:rsid w:val="0071409A"/>
    <w:rsid w:val="00714F70"/>
    <w:rsid w:val="007154AA"/>
    <w:rsid w:val="00720B98"/>
    <w:rsid w:val="00721484"/>
    <w:rsid w:val="007271CB"/>
    <w:rsid w:val="007337F5"/>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31B4"/>
    <w:rsid w:val="0075420D"/>
    <w:rsid w:val="007548FB"/>
    <w:rsid w:val="00756B01"/>
    <w:rsid w:val="00756C40"/>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469"/>
    <w:rsid w:val="00791658"/>
    <w:rsid w:val="007942D7"/>
    <w:rsid w:val="00796EEE"/>
    <w:rsid w:val="007972AD"/>
    <w:rsid w:val="0079784E"/>
    <w:rsid w:val="007A38A3"/>
    <w:rsid w:val="007A424D"/>
    <w:rsid w:val="007A5F84"/>
    <w:rsid w:val="007A618F"/>
    <w:rsid w:val="007B1473"/>
    <w:rsid w:val="007B14DB"/>
    <w:rsid w:val="007B3FD1"/>
    <w:rsid w:val="007B5AE9"/>
    <w:rsid w:val="007B6943"/>
    <w:rsid w:val="007B7B01"/>
    <w:rsid w:val="007B7FB8"/>
    <w:rsid w:val="007C074A"/>
    <w:rsid w:val="007C1E62"/>
    <w:rsid w:val="007C26C6"/>
    <w:rsid w:val="007C5383"/>
    <w:rsid w:val="007C6863"/>
    <w:rsid w:val="007C7DCC"/>
    <w:rsid w:val="007D0388"/>
    <w:rsid w:val="007D0D54"/>
    <w:rsid w:val="007D1BC5"/>
    <w:rsid w:val="007D21B3"/>
    <w:rsid w:val="007D22AC"/>
    <w:rsid w:val="007D2BF7"/>
    <w:rsid w:val="007D47BE"/>
    <w:rsid w:val="007D4FDA"/>
    <w:rsid w:val="007D5326"/>
    <w:rsid w:val="007D59AE"/>
    <w:rsid w:val="007D6179"/>
    <w:rsid w:val="007D66ED"/>
    <w:rsid w:val="007D6D32"/>
    <w:rsid w:val="007D6E3F"/>
    <w:rsid w:val="007E0834"/>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2ED7"/>
    <w:rsid w:val="00813959"/>
    <w:rsid w:val="008146C8"/>
    <w:rsid w:val="00820C5D"/>
    <w:rsid w:val="00820EE7"/>
    <w:rsid w:val="00827E46"/>
    <w:rsid w:val="008307E7"/>
    <w:rsid w:val="00830801"/>
    <w:rsid w:val="00831051"/>
    <w:rsid w:val="0083168F"/>
    <w:rsid w:val="00841E24"/>
    <w:rsid w:val="00844885"/>
    <w:rsid w:val="00846DD5"/>
    <w:rsid w:val="0085066B"/>
    <w:rsid w:val="0085261E"/>
    <w:rsid w:val="00854779"/>
    <w:rsid w:val="00854EC6"/>
    <w:rsid w:val="00855A5A"/>
    <w:rsid w:val="00857885"/>
    <w:rsid w:val="00857A7F"/>
    <w:rsid w:val="00861509"/>
    <w:rsid w:val="008647EB"/>
    <w:rsid w:val="00864EF1"/>
    <w:rsid w:val="00865E02"/>
    <w:rsid w:val="00866100"/>
    <w:rsid w:val="00871E82"/>
    <w:rsid w:val="00871FFD"/>
    <w:rsid w:val="008727D4"/>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B31"/>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38F4"/>
    <w:rsid w:val="008F5750"/>
    <w:rsid w:val="008F5A9F"/>
    <w:rsid w:val="00902AA5"/>
    <w:rsid w:val="00903852"/>
    <w:rsid w:val="00906028"/>
    <w:rsid w:val="00906C49"/>
    <w:rsid w:val="00911CA1"/>
    <w:rsid w:val="00911FFD"/>
    <w:rsid w:val="0091233A"/>
    <w:rsid w:val="00912358"/>
    <w:rsid w:val="00913DA0"/>
    <w:rsid w:val="00922D15"/>
    <w:rsid w:val="00924BBF"/>
    <w:rsid w:val="00924BDA"/>
    <w:rsid w:val="00925917"/>
    <w:rsid w:val="00925C72"/>
    <w:rsid w:val="00930B8D"/>
    <w:rsid w:val="009310C1"/>
    <w:rsid w:val="00932E23"/>
    <w:rsid w:val="00933F91"/>
    <w:rsid w:val="00936A79"/>
    <w:rsid w:val="00940316"/>
    <w:rsid w:val="009410CB"/>
    <w:rsid w:val="00944AF7"/>
    <w:rsid w:val="00944CF8"/>
    <w:rsid w:val="009467A5"/>
    <w:rsid w:val="00947CF3"/>
    <w:rsid w:val="009523CC"/>
    <w:rsid w:val="00953708"/>
    <w:rsid w:val="00953B7B"/>
    <w:rsid w:val="00960F8F"/>
    <w:rsid w:val="009622F0"/>
    <w:rsid w:val="009640ED"/>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4ACC"/>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7B0"/>
    <w:rsid w:val="00A42644"/>
    <w:rsid w:val="00A442D8"/>
    <w:rsid w:val="00A44867"/>
    <w:rsid w:val="00A462EA"/>
    <w:rsid w:val="00A47908"/>
    <w:rsid w:val="00A50380"/>
    <w:rsid w:val="00A51145"/>
    <w:rsid w:val="00A519D3"/>
    <w:rsid w:val="00A5254D"/>
    <w:rsid w:val="00A52F5B"/>
    <w:rsid w:val="00A55315"/>
    <w:rsid w:val="00A603FA"/>
    <w:rsid w:val="00A61204"/>
    <w:rsid w:val="00A62A8C"/>
    <w:rsid w:val="00A63C3E"/>
    <w:rsid w:val="00A66A0E"/>
    <w:rsid w:val="00A67476"/>
    <w:rsid w:val="00A67E01"/>
    <w:rsid w:val="00A702F0"/>
    <w:rsid w:val="00A70979"/>
    <w:rsid w:val="00A714E3"/>
    <w:rsid w:val="00A747AD"/>
    <w:rsid w:val="00A75CE5"/>
    <w:rsid w:val="00A76E69"/>
    <w:rsid w:val="00A80E77"/>
    <w:rsid w:val="00A82BFB"/>
    <w:rsid w:val="00A84EA5"/>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0A05"/>
    <w:rsid w:val="00AC2322"/>
    <w:rsid w:val="00AC3AFD"/>
    <w:rsid w:val="00AC4F67"/>
    <w:rsid w:val="00AC5BD9"/>
    <w:rsid w:val="00AC7361"/>
    <w:rsid w:val="00AD1E9F"/>
    <w:rsid w:val="00AD27C1"/>
    <w:rsid w:val="00AD7216"/>
    <w:rsid w:val="00AE1CB0"/>
    <w:rsid w:val="00AE2295"/>
    <w:rsid w:val="00AE4383"/>
    <w:rsid w:val="00AE4F84"/>
    <w:rsid w:val="00AE5548"/>
    <w:rsid w:val="00AE597A"/>
    <w:rsid w:val="00AE6C1C"/>
    <w:rsid w:val="00AF3657"/>
    <w:rsid w:val="00AF746F"/>
    <w:rsid w:val="00B01365"/>
    <w:rsid w:val="00B033EE"/>
    <w:rsid w:val="00B1063A"/>
    <w:rsid w:val="00B12542"/>
    <w:rsid w:val="00B12FA7"/>
    <w:rsid w:val="00B147BB"/>
    <w:rsid w:val="00B151F4"/>
    <w:rsid w:val="00B152A8"/>
    <w:rsid w:val="00B17141"/>
    <w:rsid w:val="00B243C6"/>
    <w:rsid w:val="00B2516E"/>
    <w:rsid w:val="00B26DE3"/>
    <w:rsid w:val="00B34138"/>
    <w:rsid w:val="00B34408"/>
    <w:rsid w:val="00B34890"/>
    <w:rsid w:val="00B35411"/>
    <w:rsid w:val="00B35A61"/>
    <w:rsid w:val="00B362A5"/>
    <w:rsid w:val="00B36958"/>
    <w:rsid w:val="00B37139"/>
    <w:rsid w:val="00B40343"/>
    <w:rsid w:val="00B435B5"/>
    <w:rsid w:val="00B43A8C"/>
    <w:rsid w:val="00B45D25"/>
    <w:rsid w:val="00B4694F"/>
    <w:rsid w:val="00B510F6"/>
    <w:rsid w:val="00B52619"/>
    <w:rsid w:val="00B564B1"/>
    <w:rsid w:val="00B564B6"/>
    <w:rsid w:val="00B5746B"/>
    <w:rsid w:val="00B60332"/>
    <w:rsid w:val="00B60618"/>
    <w:rsid w:val="00B627D3"/>
    <w:rsid w:val="00B6284F"/>
    <w:rsid w:val="00B651B9"/>
    <w:rsid w:val="00B672C5"/>
    <w:rsid w:val="00B67A50"/>
    <w:rsid w:val="00B71A98"/>
    <w:rsid w:val="00B72EC1"/>
    <w:rsid w:val="00B801E5"/>
    <w:rsid w:val="00B8123D"/>
    <w:rsid w:val="00B825B0"/>
    <w:rsid w:val="00B8293D"/>
    <w:rsid w:val="00B82BFE"/>
    <w:rsid w:val="00B85484"/>
    <w:rsid w:val="00B867A0"/>
    <w:rsid w:val="00B95568"/>
    <w:rsid w:val="00B955C6"/>
    <w:rsid w:val="00B971AD"/>
    <w:rsid w:val="00B97C04"/>
    <w:rsid w:val="00BA0223"/>
    <w:rsid w:val="00BA139E"/>
    <w:rsid w:val="00BA175C"/>
    <w:rsid w:val="00BA24B6"/>
    <w:rsid w:val="00BA4198"/>
    <w:rsid w:val="00BA684F"/>
    <w:rsid w:val="00BA75D3"/>
    <w:rsid w:val="00BA7ABA"/>
    <w:rsid w:val="00BB0FE8"/>
    <w:rsid w:val="00BB52B1"/>
    <w:rsid w:val="00BC010F"/>
    <w:rsid w:val="00BC1DCB"/>
    <w:rsid w:val="00BC4E5F"/>
    <w:rsid w:val="00BC587A"/>
    <w:rsid w:val="00BC64E0"/>
    <w:rsid w:val="00BD1CEC"/>
    <w:rsid w:val="00BD2146"/>
    <w:rsid w:val="00BD2203"/>
    <w:rsid w:val="00BD3D7A"/>
    <w:rsid w:val="00BD44BB"/>
    <w:rsid w:val="00BD4618"/>
    <w:rsid w:val="00BD47A2"/>
    <w:rsid w:val="00BE0033"/>
    <w:rsid w:val="00BE2F8B"/>
    <w:rsid w:val="00BE64B8"/>
    <w:rsid w:val="00BE6646"/>
    <w:rsid w:val="00BE67F2"/>
    <w:rsid w:val="00BF070F"/>
    <w:rsid w:val="00BF2CF4"/>
    <w:rsid w:val="00BF2EAA"/>
    <w:rsid w:val="00BF4162"/>
    <w:rsid w:val="00BF55D1"/>
    <w:rsid w:val="00BF63C1"/>
    <w:rsid w:val="00BF68C9"/>
    <w:rsid w:val="00C04712"/>
    <w:rsid w:val="00C04D91"/>
    <w:rsid w:val="00C0772B"/>
    <w:rsid w:val="00C10544"/>
    <w:rsid w:val="00C121C7"/>
    <w:rsid w:val="00C124EC"/>
    <w:rsid w:val="00C12530"/>
    <w:rsid w:val="00C13D24"/>
    <w:rsid w:val="00C1515F"/>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5741A"/>
    <w:rsid w:val="00C603C3"/>
    <w:rsid w:val="00C61230"/>
    <w:rsid w:val="00C61F66"/>
    <w:rsid w:val="00C64532"/>
    <w:rsid w:val="00C6594C"/>
    <w:rsid w:val="00C7196E"/>
    <w:rsid w:val="00C739E0"/>
    <w:rsid w:val="00C73E7A"/>
    <w:rsid w:val="00C76D48"/>
    <w:rsid w:val="00C81AD0"/>
    <w:rsid w:val="00C83077"/>
    <w:rsid w:val="00C86A64"/>
    <w:rsid w:val="00CA0C45"/>
    <w:rsid w:val="00CA3F65"/>
    <w:rsid w:val="00CA5AAF"/>
    <w:rsid w:val="00CA5C56"/>
    <w:rsid w:val="00CB13E6"/>
    <w:rsid w:val="00CB18AA"/>
    <w:rsid w:val="00CB3671"/>
    <w:rsid w:val="00CB42B7"/>
    <w:rsid w:val="00CB5939"/>
    <w:rsid w:val="00CB6492"/>
    <w:rsid w:val="00CC02D0"/>
    <w:rsid w:val="00CC1E03"/>
    <w:rsid w:val="00CC1F8C"/>
    <w:rsid w:val="00CC22BE"/>
    <w:rsid w:val="00CC2E19"/>
    <w:rsid w:val="00CC3603"/>
    <w:rsid w:val="00CC45F3"/>
    <w:rsid w:val="00CC786F"/>
    <w:rsid w:val="00CD13A9"/>
    <w:rsid w:val="00CD16E5"/>
    <w:rsid w:val="00CD5534"/>
    <w:rsid w:val="00CD56F1"/>
    <w:rsid w:val="00CD7193"/>
    <w:rsid w:val="00CE16ED"/>
    <w:rsid w:val="00CE2ED5"/>
    <w:rsid w:val="00CE6EF2"/>
    <w:rsid w:val="00CE7B70"/>
    <w:rsid w:val="00CF0D77"/>
    <w:rsid w:val="00CF24C6"/>
    <w:rsid w:val="00D005C3"/>
    <w:rsid w:val="00D01DC2"/>
    <w:rsid w:val="00D03766"/>
    <w:rsid w:val="00D07F00"/>
    <w:rsid w:val="00D10DEC"/>
    <w:rsid w:val="00D11758"/>
    <w:rsid w:val="00D12BA5"/>
    <w:rsid w:val="00D14F1D"/>
    <w:rsid w:val="00D207FC"/>
    <w:rsid w:val="00D2238A"/>
    <w:rsid w:val="00D22841"/>
    <w:rsid w:val="00D2284D"/>
    <w:rsid w:val="00D2442A"/>
    <w:rsid w:val="00D30C72"/>
    <w:rsid w:val="00D32134"/>
    <w:rsid w:val="00D329C5"/>
    <w:rsid w:val="00D32CA6"/>
    <w:rsid w:val="00D32DFB"/>
    <w:rsid w:val="00D3321D"/>
    <w:rsid w:val="00D33BD9"/>
    <w:rsid w:val="00D35DEF"/>
    <w:rsid w:val="00D44CF6"/>
    <w:rsid w:val="00D5069B"/>
    <w:rsid w:val="00D51BC7"/>
    <w:rsid w:val="00D52A4A"/>
    <w:rsid w:val="00D52F93"/>
    <w:rsid w:val="00D573BF"/>
    <w:rsid w:val="00D578EE"/>
    <w:rsid w:val="00D61912"/>
    <w:rsid w:val="00D61BC0"/>
    <w:rsid w:val="00D62EB1"/>
    <w:rsid w:val="00D6303B"/>
    <w:rsid w:val="00D64189"/>
    <w:rsid w:val="00D66AF2"/>
    <w:rsid w:val="00D67195"/>
    <w:rsid w:val="00D70C6A"/>
    <w:rsid w:val="00D71702"/>
    <w:rsid w:val="00D7340F"/>
    <w:rsid w:val="00D74565"/>
    <w:rsid w:val="00D75428"/>
    <w:rsid w:val="00D75599"/>
    <w:rsid w:val="00D80559"/>
    <w:rsid w:val="00D824E7"/>
    <w:rsid w:val="00D8505F"/>
    <w:rsid w:val="00D863E0"/>
    <w:rsid w:val="00D866E0"/>
    <w:rsid w:val="00D867B1"/>
    <w:rsid w:val="00D86CB2"/>
    <w:rsid w:val="00D91433"/>
    <w:rsid w:val="00D92C8B"/>
    <w:rsid w:val="00D92C94"/>
    <w:rsid w:val="00D93340"/>
    <w:rsid w:val="00DA03AE"/>
    <w:rsid w:val="00DA0FDC"/>
    <w:rsid w:val="00DA1207"/>
    <w:rsid w:val="00DA2E1A"/>
    <w:rsid w:val="00DA2E99"/>
    <w:rsid w:val="00DA3D1A"/>
    <w:rsid w:val="00DA4115"/>
    <w:rsid w:val="00DA6318"/>
    <w:rsid w:val="00DA7715"/>
    <w:rsid w:val="00DA790F"/>
    <w:rsid w:val="00DB052A"/>
    <w:rsid w:val="00DB074A"/>
    <w:rsid w:val="00DB09C5"/>
    <w:rsid w:val="00DB2527"/>
    <w:rsid w:val="00DB2B0A"/>
    <w:rsid w:val="00DB2C20"/>
    <w:rsid w:val="00DB2EEA"/>
    <w:rsid w:val="00DB60CA"/>
    <w:rsid w:val="00DB7A21"/>
    <w:rsid w:val="00DC05D4"/>
    <w:rsid w:val="00DC46F6"/>
    <w:rsid w:val="00DC49CC"/>
    <w:rsid w:val="00DC5626"/>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4434"/>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400"/>
    <w:rsid w:val="00E41E0C"/>
    <w:rsid w:val="00E46C07"/>
    <w:rsid w:val="00E50247"/>
    <w:rsid w:val="00E50E56"/>
    <w:rsid w:val="00E5280E"/>
    <w:rsid w:val="00E54D66"/>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40B3"/>
    <w:rsid w:val="00E860EC"/>
    <w:rsid w:val="00E873C2"/>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B584B"/>
    <w:rsid w:val="00EB69B2"/>
    <w:rsid w:val="00EC0921"/>
    <w:rsid w:val="00EC47D0"/>
    <w:rsid w:val="00EC5E5D"/>
    <w:rsid w:val="00EC6D26"/>
    <w:rsid w:val="00ED0CAF"/>
    <w:rsid w:val="00ED2AD6"/>
    <w:rsid w:val="00ED3908"/>
    <w:rsid w:val="00ED51E3"/>
    <w:rsid w:val="00ED686E"/>
    <w:rsid w:val="00ED6EAA"/>
    <w:rsid w:val="00ED705B"/>
    <w:rsid w:val="00EE0C9B"/>
    <w:rsid w:val="00EE2ECB"/>
    <w:rsid w:val="00EE349A"/>
    <w:rsid w:val="00EE3C61"/>
    <w:rsid w:val="00EE6338"/>
    <w:rsid w:val="00EE6B14"/>
    <w:rsid w:val="00EE6EF1"/>
    <w:rsid w:val="00EE70E9"/>
    <w:rsid w:val="00EE7B18"/>
    <w:rsid w:val="00EF2A0E"/>
    <w:rsid w:val="00EF39CA"/>
    <w:rsid w:val="00EF68E8"/>
    <w:rsid w:val="00EF7381"/>
    <w:rsid w:val="00EF7778"/>
    <w:rsid w:val="00F00F14"/>
    <w:rsid w:val="00F013C0"/>
    <w:rsid w:val="00F06042"/>
    <w:rsid w:val="00F06133"/>
    <w:rsid w:val="00F121A6"/>
    <w:rsid w:val="00F125CC"/>
    <w:rsid w:val="00F1261F"/>
    <w:rsid w:val="00F1374C"/>
    <w:rsid w:val="00F16117"/>
    <w:rsid w:val="00F24387"/>
    <w:rsid w:val="00F24A55"/>
    <w:rsid w:val="00F26DAF"/>
    <w:rsid w:val="00F27DD3"/>
    <w:rsid w:val="00F3191C"/>
    <w:rsid w:val="00F333D1"/>
    <w:rsid w:val="00F34435"/>
    <w:rsid w:val="00F36E4D"/>
    <w:rsid w:val="00F37917"/>
    <w:rsid w:val="00F403F3"/>
    <w:rsid w:val="00F43C47"/>
    <w:rsid w:val="00F446C0"/>
    <w:rsid w:val="00F44EC8"/>
    <w:rsid w:val="00F46C47"/>
    <w:rsid w:val="00F47788"/>
    <w:rsid w:val="00F5104F"/>
    <w:rsid w:val="00F52807"/>
    <w:rsid w:val="00F54DF7"/>
    <w:rsid w:val="00F552DE"/>
    <w:rsid w:val="00F57310"/>
    <w:rsid w:val="00F6037A"/>
    <w:rsid w:val="00F603DB"/>
    <w:rsid w:val="00F6319D"/>
    <w:rsid w:val="00F64146"/>
    <w:rsid w:val="00F64600"/>
    <w:rsid w:val="00F6501E"/>
    <w:rsid w:val="00F66A19"/>
    <w:rsid w:val="00F66C8C"/>
    <w:rsid w:val="00F66FFF"/>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286A"/>
    <w:rsid w:val="00F9467E"/>
    <w:rsid w:val="00F94F2F"/>
    <w:rsid w:val="00F97507"/>
    <w:rsid w:val="00FA2DAB"/>
    <w:rsid w:val="00FB21E9"/>
    <w:rsid w:val="00FB342C"/>
    <w:rsid w:val="00FB5783"/>
    <w:rsid w:val="00FC04B0"/>
    <w:rsid w:val="00FC04F1"/>
    <w:rsid w:val="00FC174D"/>
    <w:rsid w:val="00FC2CCA"/>
    <w:rsid w:val="00FC2FC0"/>
    <w:rsid w:val="00FC40D6"/>
    <w:rsid w:val="00FC420F"/>
    <w:rsid w:val="00FC5286"/>
    <w:rsid w:val="00FC5BC1"/>
    <w:rsid w:val="00FD2228"/>
    <w:rsid w:val="00FD51C8"/>
    <w:rsid w:val="00FD5C0A"/>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53B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B151F4"/>
    <w:rPr>
      <w:sz w:val="24"/>
      <w:szCs w:val="24"/>
    </w:rPr>
  </w:style>
  <w:style w:type="character" w:styleId="CommentReference">
    <w:name w:val="annotation reference"/>
    <w:basedOn w:val="DefaultParagraphFont"/>
    <w:rsid w:val="00F00F14"/>
    <w:rPr>
      <w:sz w:val="16"/>
      <w:szCs w:val="16"/>
    </w:rPr>
  </w:style>
  <w:style w:type="paragraph" w:styleId="CommentText">
    <w:name w:val="annotation text"/>
    <w:basedOn w:val="Normal"/>
    <w:link w:val="CommentTextChar"/>
    <w:rsid w:val="00F00F14"/>
    <w:pPr>
      <w:spacing w:line="240" w:lineRule="auto"/>
    </w:pPr>
    <w:rPr>
      <w:sz w:val="20"/>
      <w:szCs w:val="20"/>
    </w:rPr>
  </w:style>
  <w:style w:type="character" w:customStyle="1" w:styleId="CommentTextChar">
    <w:name w:val="Comment Text Char"/>
    <w:basedOn w:val="DefaultParagraphFont"/>
    <w:link w:val="CommentText"/>
    <w:rsid w:val="00F00F14"/>
  </w:style>
  <w:style w:type="paragraph" w:styleId="CommentSubject">
    <w:name w:val="annotation subject"/>
    <w:basedOn w:val="CommentText"/>
    <w:next w:val="CommentText"/>
    <w:link w:val="CommentSubjectChar"/>
    <w:rsid w:val="00F00F14"/>
    <w:rPr>
      <w:b/>
      <w:bCs/>
    </w:rPr>
  </w:style>
  <w:style w:type="character" w:customStyle="1" w:styleId="CommentSubjectChar">
    <w:name w:val="Comment Subject Char"/>
    <w:basedOn w:val="CommentTextChar"/>
    <w:link w:val="CommentSubject"/>
    <w:rsid w:val="00F00F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rl.texas.gov/LASDOCS/72R/HB827/HB827_72R.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D587713A0974136A1C6AB7D331DC163"/>
        <w:category>
          <w:name w:val="General"/>
          <w:gallery w:val="placeholder"/>
        </w:category>
        <w:types>
          <w:type w:val="bbPlcHdr"/>
        </w:types>
        <w:behaviors>
          <w:behavior w:val="content"/>
        </w:behaviors>
        <w:guid w:val="{8868E58D-9D8F-47AF-B1B3-33D87329289A}"/>
      </w:docPartPr>
      <w:docPartBody>
        <w:p w:rsidR="00C3404A" w:rsidRDefault="00485A29">
          <w:pPr>
            <w:pStyle w:val="2D587713A0974136A1C6AB7D331DC16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A29"/>
    <w:rsid w:val="0033258E"/>
    <w:rsid w:val="00485A29"/>
    <w:rsid w:val="005C229B"/>
    <w:rsid w:val="009D4EBC"/>
    <w:rsid w:val="00A44BF3"/>
    <w:rsid w:val="00C34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A29"/>
    <w:rPr>
      <w:color w:val="808080"/>
    </w:rPr>
  </w:style>
  <w:style w:type="paragraph" w:customStyle="1" w:styleId="2D587713A0974136A1C6AB7D331DC163">
    <w:name w:val="2D587713A0974136A1C6AB7D331DC1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2308</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2023-10-13T18:16:00Z</dcterms:created>
  <dcterms:modified xsi:type="dcterms:W3CDTF">2023-10-13T19:43:00Z</dcterms:modified>
</cp:coreProperties>
</file>